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B2" w:rsidRDefault="000741B2" w:rsidP="00D35B2B">
      <w:pPr>
        <w:pStyle w:val="Header"/>
        <w:tabs>
          <w:tab w:val="clear" w:pos="4320"/>
          <w:tab w:val="clear" w:pos="8640"/>
        </w:tabs>
        <w:rPr>
          <w:rFonts w:ascii="Arial Narrow" w:hAnsi="Arial Narrow"/>
        </w:rPr>
      </w:pPr>
      <w:bookmarkStart w:id="0" w:name="_GoBack"/>
      <w:bookmarkEnd w:id="0"/>
    </w:p>
    <w:p w:rsidR="00D35B2B" w:rsidRDefault="00D2203F" w:rsidP="00D35B2B">
      <w:pPr>
        <w:pStyle w:val="Header"/>
        <w:tabs>
          <w:tab w:val="clear" w:pos="4320"/>
          <w:tab w:val="clear" w:pos="8640"/>
        </w:tabs>
        <w:rPr>
          <w:rFonts w:ascii="Arial Narrow" w:hAnsi="Arial Narrow"/>
        </w:rPr>
      </w:pPr>
      <w:r>
        <w:rPr>
          <w:rFonts w:ascii="Arial Narrow" w:hAnsi="Arial Narrow"/>
          <w:noProof/>
        </w:rPr>
        <mc:AlternateContent>
          <mc:Choice Requires="wps">
            <w:drawing>
              <wp:anchor distT="0" distB="0" distL="114300" distR="114300" simplePos="0" relativeHeight="251654656" behindDoc="0" locked="1" layoutInCell="1" allowOverlap="1">
                <wp:simplePos x="0" y="0"/>
                <wp:positionH relativeFrom="column">
                  <wp:posOffset>-800100</wp:posOffset>
                </wp:positionH>
                <wp:positionV relativeFrom="page">
                  <wp:posOffset>285750</wp:posOffset>
                </wp:positionV>
                <wp:extent cx="7086600" cy="9144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
                        </a:xfrm>
                        <a:prstGeom prst="rect">
                          <a:avLst/>
                        </a:prstGeom>
                        <a:solidFill>
                          <a:srgbClr val="C0C0C0"/>
                        </a:solidFill>
                        <a:ln w="15875">
                          <a:solidFill>
                            <a:srgbClr val="000000"/>
                          </a:solidFill>
                          <a:miter lim="800000"/>
                          <a:headEnd/>
                          <a:tailEnd/>
                        </a:ln>
                      </wps:spPr>
                      <wps:txbx>
                        <w:txbxContent>
                          <w:p w:rsidR="00625B53" w:rsidRPr="007A7074" w:rsidRDefault="00AD1E8B" w:rsidP="00D35B2B">
                            <w:pPr>
                              <w:pStyle w:val="Heading1"/>
                              <w:jc w:val="center"/>
                              <w:rPr>
                                <w:rFonts w:ascii="Calibri" w:hAnsi="Calibri" w:cs="Calibri"/>
                                <w:bCs/>
                                <w:sz w:val="44"/>
                                <w:szCs w:val="44"/>
                              </w:rPr>
                            </w:pPr>
                            <w:r>
                              <w:rPr>
                                <w:rFonts w:ascii="Calibri" w:hAnsi="Calibri" w:cs="Calibri"/>
                                <w:bCs/>
                                <w:sz w:val="44"/>
                                <w:szCs w:val="44"/>
                              </w:rPr>
                              <w:t>Senate Bill</w:t>
                            </w:r>
                            <w:r w:rsidR="00560D74">
                              <w:rPr>
                                <w:rFonts w:ascii="Calibri" w:hAnsi="Calibri" w:cs="Calibri"/>
                                <w:bCs/>
                                <w:sz w:val="44"/>
                                <w:szCs w:val="44"/>
                              </w:rPr>
                              <w:t xml:space="preserve"> </w:t>
                            </w:r>
                            <w:r w:rsidR="009571F3">
                              <w:rPr>
                                <w:rFonts w:ascii="Calibri" w:hAnsi="Calibri" w:cs="Calibri"/>
                                <w:bCs/>
                                <w:sz w:val="44"/>
                                <w:szCs w:val="44"/>
                              </w:rPr>
                              <w:t>5</w:t>
                            </w:r>
                            <w:r w:rsidR="00D2203F">
                              <w:rPr>
                                <w:rFonts w:ascii="Calibri" w:hAnsi="Calibri" w:cs="Calibri"/>
                                <w:bCs/>
                                <w:sz w:val="44"/>
                                <w:szCs w:val="44"/>
                              </w:rPr>
                              <w:t>5</w:t>
                            </w:r>
                          </w:p>
                          <w:p w:rsidR="00167D8A" w:rsidRDefault="009571F3" w:rsidP="00D35B2B">
                            <w:pPr>
                              <w:pStyle w:val="Heading1"/>
                              <w:jc w:val="center"/>
                              <w:rPr>
                                <w:rFonts w:ascii="Calibri" w:hAnsi="Calibri" w:cs="Calibri"/>
                                <w:bCs/>
                                <w:szCs w:val="32"/>
                              </w:rPr>
                            </w:pPr>
                            <w:r>
                              <w:rPr>
                                <w:rFonts w:ascii="Calibri" w:hAnsi="Calibri" w:cs="Calibri"/>
                                <w:bCs/>
                                <w:szCs w:val="32"/>
                              </w:rPr>
                              <w:t xml:space="preserve">California Environmental Quality Act </w:t>
                            </w:r>
                          </w:p>
                          <w:p w:rsidR="00625B53" w:rsidRPr="00123D29" w:rsidRDefault="00530699" w:rsidP="00D35B2B">
                            <w:pPr>
                              <w:pStyle w:val="Heading1"/>
                              <w:jc w:val="center"/>
                              <w:rPr>
                                <w:rFonts w:ascii="Times New Roman" w:hAnsi="Times New Roman"/>
                                <w:bCs/>
                              </w:rPr>
                            </w:pPr>
                            <w:r>
                              <w:rPr>
                                <w:rFonts w:ascii="Calibri" w:hAnsi="Calibri" w:cs="Calibri"/>
                                <w:b w:val="0"/>
                                <w:bCs/>
                                <w:szCs w:val="32"/>
                              </w:rPr>
                              <w:t xml:space="preserve">Senator </w:t>
                            </w:r>
                            <w:r w:rsidR="00860636">
                              <w:rPr>
                                <w:rFonts w:ascii="Calibri" w:hAnsi="Calibri" w:cs="Calibri"/>
                                <w:b w:val="0"/>
                                <w:bCs/>
                                <w:szCs w:val="32"/>
                              </w:rPr>
                              <w:t>Jackson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63pt;margin-top:22.5pt;width:55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" fillcolor="silver" strokeweight="1.25pt">
                <v:textbox>
                  <w:txbxContent>
                    <w:p w:rsidR="00625B53" w:rsidRPr="007A7074" w:rsidRDefault="00AD1E8B" w:rsidP="00D35B2B">
                      <w:pPr>
                        <w:pStyle w:val="Heading1"/>
                        <w:jc w:val="center"/>
                        <w:rPr>
                          <w:rFonts w:ascii="Calibri" w:hAnsi="Calibri" w:cs="Calibri"/>
                          <w:bCs/>
                          <w:sz w:val="44"/>
                          <w:szCs w:val="44"/>
                        </w:rPr>
                      </w:pPr>
                      <w:r>
                        <w:rPr>
                          <w:rFonts w:ascii="Calibri" w:hAnsi="Calibri" w:cs="Calibri"/>
                          <w:bCs/>
                          <w:sz w:val="44"/>
                          <w:szCs w:val="44"/>
                        </w:rPr>
                        <w:t>Senate Bill</w:t>
                      </w:r>
                      <w:r w:rsidR="00560D74">
                        <w:rPr>
                          <w:rFonts w:ascii="Calibri" w:hAnsi="Calibri" w:cs="Calibri"/>
                          <w:bCs/>
                          <w:sz w:val="44"/>
                          <w:szCs w:val="44"/>
                        </w:rPr>
                        <w:t xml:space="preserve"> </w:t>
                      </w:r>
                      <w:r w:rsidR="009571F3">
                        <w:rPr>
                          <w:rFonts w:ascii="Calibri" w:hAnsi="Calibri" w:cs="Calibri"/>
                          <w:bCs/>
                          <w:sz w:val="44"/>
                          <w:szCs w:val="44"/>
                        </w:rPr>
                        <w:t>5</w:t>
                      </w:r>
                      <w:r w:rsidR="00D2203F">
                        <w:rPr>
                          <w:rFonts w:ascii="Calibri" w:hAnsi="Calibri" w:cs="Calibri"/>
                          <w:bCs/>
                          <w:sz w:val="44"/>
                          <w:szCs w:val="44"/>
                        </w:rPr>
                        <w:t>5</w:t>
                      </w:r>
                    </w:p>
                    <w:p w:rsidR="00167D8A" w:rsidRDefault="009571F3" w:rsidP="00D35B2B">
                      <w:pPr>
                        <w:pStyle w:val="Heading1"/>
                        <w:jc w:val="center"/>
                        <w:rPr>
                          <w:rFonts w:ascii="Calibri" w:hAnsi="Calibri" w:cs="Calibri"/>
                          <w:bCs/>
                          <w:szCs w:val="32"/>
                        </w:rPr>
                      </w:pPr>
                      <w:r>
                        <w:rPr>
                          <w:rFonts w:ascii="Calibri" w:hAnsi="Calibri" w:cs="Calibri"/>
                          <w:bCs/>
                          <w:szCs w:val="32"/>
                        </w:rPr>
                        <w:t xml:space="preserve">California Environmental Quality Act </w:t>
                      </w:r>
                    </w:p>
                    <w:p w:rsidR="00625B53" w:rsidRPr="00123D29" w:rsidRDefault="00530699" w:rsidP="00D35B2B">
                      <w:pPr>
                        <w:pStyle w:val="Heading1"/>
                        <w:jc w:val="center"/>
                        <w:rPr>
                          <w:rFonts w:ascii="Times New Roman" w:hAnsi="Times New Roman"/>
                          <w:bCs/>
                        </w:rPr>
                      </w:pPr>
                      <w:r>
                        <w:rPr>
                          <w:rFonts w:ascii="Calibri" w:hAnsi="Calibri" w:cs="Calibri"/>
                          <w:b w:val="0"/>
                          <w:bCs/>
                          <w:szCs w:val="32"/>
                        </w:rPr>
                        <w:t xml:space="preserve">Senator </w:t>
                      </w:r>
                      <w:r w:rsidR="00860636">
                        <w:rPr>
                          <w:rFonts w:ascii="Calibri" w:hAnsi="Calibri" w:cs="Calibri"/>
                          <w:b w:val="0"/>
                          <w:bCs/>
                          <w:szCs w:val="32"/>
                        </w:rPr>
                        <w:t>Jackson</w:t>
                      </w:r>
                    </w:p>
                  </w:txbxContent>
                </v:textbox>
                <w10:wrap anchory="page"/>
                <w10:anchorlock/>
              </v:shape>
            </w:pict>
          </mc:Fallback>
        </mc:AlternateContent>
      </w:r>
    </w:p>
    <w:p w:rsidR="0039103F" w:rsidRDefault="0039103F" w:rsidP="00D35B2B">
      <w:pPr>
        <w:rPr>
          <w:rFonts w:ascii="Arial Narrow" w:hAnsi="Arial Narrow" w:cs="Arial"/>
          <w:sz w:val="22"/>
        </w:rPr>
        <w:sectPr w:rsidR="0039103F" w:rsidSect="004F7032">
          <w:headerReference w:type="even" r:id="rId7"/>
          <w:headerReference w:type="default" r:id="rId8"/>
          <w:footerReference w:type="default" r:id="rId9"/>
          <w:headerReference w:type="first" r:id="rId10"/>
          <w:pgSz w:w="12240" w:h="15840" w:code="1"/>
          <w:pgMar w:top="1440" w:right="1800" w:bottom="1440" w:left="1800" w:header="720" w:footer="259" w:gutter="0"/>
          <w:cols w:space="720"/>
        </w:sectPr>
      </w:pPr>
    </w:p>
    <w:p w:rsidR="00160A5D" w:rsidRDefault="00160A5D" w:rsidP="000741B2">
      <w:pPr>
        <w:pStyle w:val="Heading2"/>
        <w:rPr>
          <w:rFonts w:ascii="Calibri" w:hAnsi="Calibri" w:cs="Calibri"/>
          <w:b/>
          <w:sz w:val="24"/>
          <w:szCs w:val="24"/>
        </w:rPr>
      </w:pPr>
    </w:p>
    <w:p w:rsidR="00094A41" w:rsidRPr="00094A41" w:rsidRDefault="00105DD8" w:rsidP="00094A41">
      <w:pPr>
        <w:pStyle w:val="Heading2"/>
        <w:rPr>
          <w:rFonts w:ascii="Calibri" w:hAnsi="Calibri" w:cs="Calibri"/>
          <w:b/>
          <w:sz w:val="24"/>
          <w:szCs w:val="24"/>
        </w:rPr>
      </w:pPr>
      <w:r w:rsidRPr="007A7074">
        <w:rPr>
          <w:rFonts w:ascii="Calibri" w:hAnsi="Calibri" w:cs="Calibri"/>
          <w:b/>
          <w:sz w:val="24"/>
          <w:szCs w:val="24"/>
        </w:rPr>
        <w:t>Summary</w:t>
      </w:r>
    </w:p>
    <w:p w:rsidR="00E83362" w:rsidRPr="007A7074" w:rsidRDefault="00D2203F" w:rsidP="000741B2">
      <w:pPr>
        <w:rPr>
          <w:rFonts w:ascii="Calibri" w:hAnsi="Calibri" w:cs="Calibri"/>
          <w:sz w:val="22"/>
          <w:szCs w:val="22"/>
        </w:rPr>
      </w:pPr>
      <w:r w:rsidRPr="007A7074">
        <w:rPr>
          <w:rFonts w:ascii="Calibri" w:hAnsi="Calibri" w:cs="Calibri"/>
          <w:noProof/>
          <w:sz w:val="24"/>
          <w:szCs w:val="24"/>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26035</wp:posOffset>
                </wp:positionV>
                <wp:extent cx="2560320" cy="0"/>
                <wp:effectExtent l="5715" t="13335" r="5715"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093F2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20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vH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p6ExvXAEBldraUBs9qVez0fS7Q0pXLVF7Hhm+nQ2kZSEjeZcSNs4A/q7/ohnEkIPXsU2n&#10;xnYBEhqATlGN810NfvKIwuFoPEmfRi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" o:allowincell="f"/>
            </w:pict>
          </mc:Fallback>
        </mc:AlternateContent>
      </w:r>
    </w:p>
    <w:p w:rsidR="00094A41" w:rsidRPr="000F6093" w:rsidRDefault="009571F3" w:rsidP="00F40101">
      <w:pPr>
        <w:pStyle w:val="Heading2"/>
        <w:rPr>
          <w:rFonts w:ascii="Calibri" w:hAnsi="Calibri" w:cs="Calibri"/>
          <w:smallCaps w:val="0"/>
          <w:sz w:val="22"/>
          <w:szCs w:val="22"/>
        </w:rPr>
      </w:pPr>
      <w:r>
        <w:rPr>
          <w:rFonts w:ascii="Calibri" w:hAnsi="Calibri" w:cs="Calibri"/>
          <w:smallCaps w:val="0"/>
          <w:sz w:val="22"/>
          <w:szCs w:val="22"/>
        </w:rPr>
        <w:t>Since its passage in 1970, the California Environmental Quality Act has played a central role in protecting the state’s environment and providing Californians with information about projects approved in their communities</w:t>
      </w:r>
      <w:r w:rsidR="00A75806">
        <w:rPr>
          <w:rFonts w:ascii="Calibri" w:hAnsi="Calibri" w:cs="Calibri"/>
          <w:smallCaps w:val="0"/>
          <w:sz w:val="22"/>
          <w:szCs w:val="22"/>
        </w:rPr>
        <w:t>.</w:t>
      </w:r>
      <w:r w:rsidR="00F40101">
        <w:rPr>
          <w:rFonts w:ascii="Calibri" w:hAnsi="Calibri" w:cs="Calibri"/>
          <w:smallCaps w:val="0"/>
          <w:sz w:val="22"/>
          <w:szCs w:val="22"/>
        </w:rPr>
        <w:t xml:space="preserve"> Over the past 50 years, CEQA has evolved into</w:t>
      </w:r>
      <w:r w:rsidR="006F0766">
        <w:rPr>
          <w:rFonts w:ascii="Calibri" w:hAnsi="Calibri" w:cs="Calibri"/>
          <w:smallCaps w:val="0"/>
          <w:sz w:val="22"/>
          <w:szCs w:val="22"/>
        </w:rPr>
        <w:t xml:space="preserve"> a comprehensive statute with a significant</w:t>
      </w:r>
      <w:r w:rsidR="00F40101">
        <w:rPr>
          <w:rFonts w:ascii="Calibri" w:hAnsi="Calibri" w:cs="Calibri"/>
          <w:smallCaps w:val="0"/>
          <w:sz w:val="22"/>
          <w:szCs w:val="22"/>
        </w:rPr>
        <w:t xml:space="preserve"> regulatory framework, and a </w:t>
      </w:r>
      <w:r w:rsidR="006F0766">
        <w:rPr>
          <w:rFonts w:ascii="Calibri" w:hAnsi="Calibri" w:cs="Calibri"/>
          <w:smallCaps w:val="0"/>
          <w:sz w:val="22"/>
          <w:szCs w:val="22"/>
        </w:rPr>
        <w:t xml:space="preserve">sizeable </w:t>
      </w:r>
      <w:r w:rsidR="00F40101">
        <w:rPr>
          <w:rFonts w:ascii="Calibri" w:hAnsi="Calibri" w:cs="Calibri"/>
          <w:smallCaps w:val="0"/>
          <w:sz w:val="22"/>
          <w:szCs w:val="22"/>
        </w:rPr>
        <w:t xml:space="preserve">body of case law interpreting its provisions. </w:t>
      </w:r>
      <w:r w:rsidR="006F0766">
        <w:rPr>
          <w:rFonts w:ascii="Calibri" w:hAnsi="Calibri" w:cs="Calibri"/>
          <w:smallCaps w:val="0"/>
          <w:sz w:val="22"/>
          <w:szCs w:val="22"/>
        </w:rPr>
        <w:t>Emerging public policy needs</w:t>
      </w:r>
      <w:r w:rsidR="00D53877">
        <w:rPr>
          <w:rFonts w:ascii="Calibri" w:hAnsi="Calibri" w:cs="Calibri"/>
          <w:smallCaps w:val="0"/>
          <w:sz w:val="22"/>
          <w:szCs w:val="22"/>
        </w:rPr>
        <w:t xml:space="preserve"> </w:t>
      </w:r>
      <w:r w:rsidR="00F40101">
        <w:rPr>
          <w:rFonts w:ascii="Calibri" w:hAnsi="Calibri" w:cs="Calibri"/>
          <w:smallCaps w:val="0"/>
          <w:sz w:val="22"/>
          <w:szCs w:val="22"/>
        </w:rPr>
        <w:t xml:space="preserve">and </w:t>
      </w:r>
      <w:r w:rsidR="006F0766">
        <w:rPr>
          <w:rFonts w:ascii="Calibri" w:hAnsi="Calibri" w:cs="Calibri"/>
          <w:smallCaps w:val="0"/>
          <w:sz w:val="22"/>
          <w:szCs w:val="22"/>
        </w:rPr>
        <w:t xml:space="preserve">new </w:t>
      </w:r>
      <w:r w:rsidR="00F40101">
        <w:rPr>
          <w:rFonts w:ascii="Calibri" w:hAnsi="Calibri" w:cs="Calibri"/>
          <w:smallCaps w:val="0"/>
          <w:sz w:val="22"/>
          <w:szCs w:val="22"/>
        </w:rPr>
        <w:t xml:space="preserve">judicial </w:t>
      </w:r>
      <w:r w:rsidR="00D53877">
        <w:rPr>
          <w:rFonts w:ascii="Calibri" w:hAnsi="Calibri" w:cs="Calibri"/>
          <w:smallCaps w:val="0"/>
          <w:sz w:val="22"/>
          <w:szCs w:val="22"/>
        </w:rPr>
        <w:t>decision</w:t>
      </w:r>
      <w:r w:rsidR="006F0766">
        <w:rPr>
          <w:rFonts w:ascii="Calibri" w:hAnsi="Calibri" w:cs="Calibri"/>
          <w:smallCaps w:val="0"/>
          <w:sz w:val="22"/>
          <w:szCs w:val="22"/>
        </w:rPr>
        <w:t>s</w:t>
      </w:r>
      <w:r w:rsidR="00D53877">
        <w:rPr>
          <w:rFonts w:ascii="Calibri" w:hAnsi="Calibri" w:cs="Calibri"/>
          <w:smallCaps w:val="0"/>
          <w:sz w:val="22"/>
          <w:szCs w:val="22"/>
        </w:rPr>
        <w:t xml:space="preserve"> </w:t>
      </w:r>
      <w:r w:rsidR="00FA4435">
        <w:rPr>
          <w:rFonts w:ascii="Calibri" w:hAnsi="Calibri" w:cs="Calibri"/>
          <w:smallCaps w:val="0"/>
          <w:sz w:val="22"/>
          <w:szCs w:val="22"/>
        </w:rPr>
        <w:t>require</w:t>
      </w:r>
      <w:r w:rsidR="00F40101">
        <w:rPr>
          <w:rFonts w:ascii="Calibri" w:hAnsi="Calibri" w:cs="Calibri"/>
          <w:smallCaps w:val="0"/>
          <w:sz w:val="22"/>
          <w:szCs w:val="22"/>
        </w:rPr>
        <w:t xml:space="preserve"> the Legislature to periodically revisit the statute to improve </w:t>
      </w:r>
      <w:r w:rsidR="00D53877">
        <w:rPr>
          <w:rFonts w:ascii="Calibri" w:hAnsi="Calibri" w:cs="Calibri"/>
          <w:smallCaps w:val="0"/>
          <w:sz w:val="22"/>
          <w:szCs w:val="22"/>
        </w:rPr>
        <w:t xml:space="preserve">its functioning </w:t>
      </w:r>
      <w:r w:rsidR="00F40101">
        <w:rPr>
          <w:rFonts w:ascii="Calibri" w:hAnsi="Calibri" w:cs="Calibri"/>
          <w:smallCaps w:val="0"/>
          <w:sz w:val="22"/>
          <w:szCs w:val="22"/>
        </w:rPr>
        <w:t xml:space="preserve">and align </w:t>
      </w:r>
      <w:r w:rsidR="006F0766">
        <w:rPr>
          <w:rFonts w:ascii="Calibri" w:hAnsi="Calibri" w:cs="Calibri"/>
          <w:smallCaps w:val="0"/>
          <w:sz w:val="22"/>
          <w:szCs w:val="22"/>
        </w:rPr>
        <w:t xml:space="preserve">current </w:t>
      </w:r>
      <w:r w:rsidR="00F40101">
        <w:rPr>
          <w:rFonts w:ascii="Calibri" w:hAnsi="Calibri" w:cs="Calibri"/>
          <w:smallCaps w:val="0"/>
          <w:sz w:val="22"/>
          <w:szCs w:val="22"/>
        </w:rPr>
        <w:t xml:space="preserve">provisions with </w:t>
      </w:r>
      <w:r w:rsidR="00D53877">
        <w:rPr>
          <w:rFonts w:ascii="Calibri" w:hAnsi="Calibri" w:cs="Calibri"/>
          <w:smallCaps w:val="0"/>
          <w:sz w:val="22"/>
          <w:szCs w:val="22"/>
        </w:rPr>
        <w:t>new case law</w:t>
      </w:r>
      <w:r w:rsidR="00F40101">
        <w:rPr>
          <w:rFonts w:ascii="Calibri" w:hAnsi="Calibri" w:cs="Calibri"/>
          <w:smallCaps w:val="0"/>
          <w:sz w:val="22"/>
          <w:szCs w:val="22"/>
        </w:rPr>
        <w:t>.</w:t>
      </w:r>
      <w:r w:rsidR="00FA4435">
        <w:rPr>
          <w:rFonts w:ascii="Calibri" w:hAnsi="Calibri" w:cs="Calibri"/>
          <w:smallCaps w:val="0"/>
          <w:sz w:val="22"/>
          <w:szCs w:val="22"/>
        </w:rPr>
        <w:t xml:space="preserve"> This bill revises several provisions to shorten the time needed for, and to reduce inefficiencies in, judicial challenges under CEQA. This bill also includes proposals to </w:t>
      </w:r>
      <w:r w:rsidR="006202B7">
        <w:rPr>
          <w:rFonts w:ascii="Calibri" w:hAnsi="Calibri" w:cs="Calibri"/>
          <w:smallCaps w:val="0"/>
          <w:sz w:val="22"/>
          <w:szCs w:val="22"/>
        </w:rPr>
        <w:t xml:space="preserve">promote equity and increase </w:t>
      </w:r>
      <w:r w:rsidR="00FA4435">
        <w:rPr>
          <w:rFonts w:ascii="Calibri" w:hAnsi="Calibri" w:cs="Calibri"/>
          <w:smallCaps w:val="0"/>
          <w:sz w:val="22"/>
          <w:szCs w:val="22"/>
        </w:rPr>
        <w:t>access</w:t>
      </w:r>
      <w:r w:rsidR="006202B7">
        <w:rPr>
          <w:rFonts w:ascii="Calibri" w:hAnsi="Calibri" w:cs="Calibri"/>
          <w:smallCaps w:val="0"/>
          <w:sz w:val="22"/>
          <w:szCs w:val="22"/>
        </w:rPr>
        <w:t xml:space="preserve"> to CEQA review.</w:t>
      </w:r>
    </w:p>
    <w:p w:rsidR="00094A41" w:rsidRPr="003A747D" w:rsidRDefault="00094A41" w:rsidP="000741B2">
      <w:pPr>
        <w:pStyle w:val="Heading2"/>
        <w:rPr>
          <w:rFonts w:ascii="Calibri" w:hAnsi="Calibri" w:cs="Calibri"/>
          <w:b/>
          <w:sz w:val="22"/>
          <w:szCs w:val="22"/>
        </w:rPr>
      </w:pPr>
    </w:p>
    <w:p w:rsidR="00E83362" w:rsidRPr="007A7074" w:rsidRDefault="00D35B2B" w:rsidP="000741B2">
      <w:pPr>
        <w:pStyle w:val="Heading2"/>
        <w:rPr>
          <w:rFonts w:ascii="Calibri" w:hAnsi="Calibri" w:cs="Calibri"/>
          <w:b/>
          <w:sz w:val="24"/>
          <w:szCs w:val="24"/>
        </w:rPr>
      </w:pPr>
      <w:r w:rsidRPr="007A7074">
        <w:rPr>
          <w:rFonts w:ascii="Calibri" w:hAnsi="Calibri" w:cs="Calibri"/>
          <w:b/>
          <w:sz w:val="24"/>
          <w:szCs w:val="24"/>
        </w:rPr>
        <w:t>Background</w:t>
      </w:r>
    </w:p>
    <w:p w:rsidR="00756FA3" w:rsidRPr="00F91BA5" w:rsidRDefault="00D2203F" w:rsidP="000741B2">
      <w:pPr>
        <w:pStyle w:val="BodyText2"/>
        <w:jc w:val="left"/>
        <w:rPr>
          <w:rFonts w:ascii="Garamond" w:hAnsi="Garamond" w:cs="Calibri"/>
          <w:sz w:val="22"/>
          <w:szCs w:val="22"/>
        </w:rPr>
      </w:pPr>
      <w:r w:rsidRPr="007A7074">
        <w:rPr>
          <w:rFonts w:ascii="Calibri" w:hAnsi="Calibri" w:cs="Calibri"/>
          <w:b/>
          <w:noProof/>
          <w:sz w:val="24"/>
          <w:szCs w:val="24"/>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26035</wp:posOffset>
                </wp:positionV>
                <wp:extent cx="2560320" cy="0"/>
                <wp:effectExtent l="5715" t="12065" r="571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8A101A"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20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w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Z6ExvXAEBldrZUBs9qxez1fS7Q0pXLVEHHhm+XgykZSEjeZMSNs4A/r7/rBnEkKPXsU3n&#10;xnYBEhqAzlGNy10NfvaIwmE+naVP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" o:allowincell="f"/>
            </w:pict>
          </mc:Fallback>
        </mc:AlternateContent>
      </w:r>
    </w:p>
    <w:p w:rsidR="00FA4435" w:rsidRDefault="00FA4435" w:rsidP="00FA4435">
      <w:pPr>
        <w:rPr>
          <w:rFonts w:ascii="Calibri" w:hAnsi="Calibri"/>
          <w:sz w:val="22"/>
          <w:szCs w:val="22"/>
        </w:rPr>
      </w:pPr>
      <w:r>
        <w:rPr>
          <w:rFonts w:ascii="Calibri" w:hAnsi="Calibri"/>
          <w:sz w:val="22"/>
          <w:szCs w:val="22"/>
        </w:rPr>
        <w:t xml:space="preserve">The California Environmental Quality Act (CEQA) is arguably California’ most important environmental law. It embodies California’s strong public policy of protecting the environment, bringing together public participation and considerations of air quality, water quality, hazardous materials, and other environmental </w:t>
      </w:r>
      <w:r w:rsidR="006202B7">
        <w:rPr>
          <w:rFonts w:ascii="Calibri" w:hAnsi="Calibri"/>
          <w:sz w:val="22"/>
          <w:szCs w:val="22"/>
        </w:rPr>
        <w:t xml:space="preserve">impacts into one comprehensive law so that agencies may make informed decisions. </w:t>
      </w:r>
    </w:p>
    <w:p w:rsidR="006202B7" w:rsidRDefault="006202B7" w:rsidP="00FA4435">
      <w:pPr>
        <w:rPr>
          <w:rFonts w:ascii="Calibri" w:hAnsi="Calibri"/>
          <w:sz w:val="22"/>
          <w:szCs w:val="22"/>
        </w:rPr>
      </w:pPr>
    </w:p>
    <w:p w:rsidR="00C35AF7" w:rsidRDefault="00FA4435" w:rsidP="00FA4435">
      <w:pPr>
        <w:rPr>
          <w:rFonts w:ascii="Calibri" w:hAnsi="Calibri"/>
          <w:sz w:val="22"/>
          <w:szCs w:val="22"/>
        </w:rPr>
      </w:pPr>
      <w:r>
        <w:rPr>
          <w:rFonts w:ascii="Calibri" w:hAnsi="Calibri"/>
          <w:sz w:val="22"/>
          <w:szCs w:val="22"/>
        </w:rPr>
        <w:t xml:space="preserve">Several causes have been suggested to explain California’s ongoing housing supply crisis. At a joint informational hearing in </w:t>
      </w:r>
      <w:r w:rsidR="006202B7">
        <w:rPr>
          <w:rFonts w:ascii="Calibri" w:hAnsi="Calibri"/>
          <w:sz w:val="22"/>
          <w:szCs w:val="22"/>
        </w:rPr>
        <w:t xml:space="preserve">March </w:t>
      </w:r>
      <w:r>
        <w:rPr>
          <w:rFonts w:ascii="Calibri" w:hAnsi="Calibri"/>
          <w:sz w:val="22"/>
          <w:szCs w:val="22"/>
        </w:rPr>
        <w:t xml:space="preserve">2019, the Senate Environmental Quality and Judiciary Committees </w:t>
      </w:r>
      <w:r w:rsidR="006202B7">
        <w:rPr>
          <w:rFonts w:ascii="Calibri" w:hAnsi="Calibri"/>
          <w:sz w:val="22"/>
          <w:szCs w:val="22"/>
        </w:rPr>
        <w:t xml:space="preserve">reviewed the extent to which </w:t>
      </w:r>
      <w:r w:rsidR="000E1519">
        <w:rPr>
          <w:rFonts w:ascii="Calibri" w:hAnsi="Calibri"/>
          <w:sz w:val="22"/>
          <w:szCs w:val="22"/>
        </w:rPr>
        <w:t xml:space="preserve">the review of projects under CEQA, as well as </w:t>
      </w:r>
      <w:r w:rsidR="006202B7">
        <w:rPr>
          <w:rFonts w:ascii="Calibri" w:hAnsi="Calibri"/>
          <w:sz w:val="22"/>
          <w:szCs w:val="22"/>
        </w:rPr>
        <w:t xml:space="preserve">CEQA-related judicial challenges may </w:t>
      </w:r>
      <w:r w:rsidR="000E1519">
        <w:rPr>
          <w:rFonts w:ascii="Calibri" w:hAnsi="Calibri"/>
          <w:sz w:val="22"/>
          <w:szCs w:val="22"/>
        </w:rPr>
        <w:t>play</w:t>
      </w:r>
      <w:r w:rsidR="006202B7">
        <w:rPr>
          <w:rFonts w:ascii="Calibri" w:hAnsi="Calibri"/>
          <w:sz w:val="22"/>
          <w:szCs w:val="22"/>
        </w:rPr>
        <w:t xml:space="preserve"> in </w:t>
      </w:r>
      <w:r w:rsidR="000E1519">
        <w:rPr>
          <w:rFonts w:ascii="Calibri" w:hAnsi="Calibri"/>
          <w:sz w:val="22"/>
          <w:szCs w:val="22"/>
        </w:rPr>
        <w:t xml:space="preserve">retarding </w:t>
      </w:r>
      <w:r w:rsidR="006202B7">
        <w:rPr>
          <w:rFonts w:ascii="Calibri" w:hAnsi="Calibri"/>
          <w:sz w:val="22"/>
          <w:szCs w:val="22"/>
        </w:rPr>
        <w:t xml:space="preserve">housing development in California. The committees found that </w:t>
      </w:r>
      <w:r w:rsidR="000E1519">
        <w:rPr>
          <w:rFonts w:ascii="Calibri" w:hAnsi="Calibri"/>
          <w:sz w:val="22"/>
          <w:szCs w:val="22"/>
        </w:rPr>
        <w:t xml:space="preserve">undergoing CEQA review enables </w:t>
      </w:r>
      <w:r w:rsidR="006202B7">
        <w:rPr>
          <w:rFonts w:ascii="Calibri" w:hAnsi="Calibri"/>
          <w:sz w:val="22"/>
          <w:szCs w:val="22"/>
        </w:rPr>
        <w:t xml:space="preserve">developers to comply with California’s </w:t>
      </w:r>
      <w:r w:rsidR="000E1519">
        <w:rPr>
          <w:rFonts w:ascii="Calibri" w:hAnsi="Calibri"/>
          <w:sz w:val="22"/>
          <w:szCs w:val="22"/>
        </w:rPr>
        <w:t>several environmental laws under a unified process</w:t>
      </w:r>
      <w:r w:rsidR="006202B7">
        <w:rPr>
          <w:rFonts w:ascii="Calibri" w:hAnsi="Calibri"/>
          <w:sz w:val="22"/>
          <w:szCs w:val="22"/>
        </w:rPr>
        <w:t xml:space="preserve">. Additionally, the committees noted that the rate of litigation </w:t>
      </w:r>
      <w:r w:rsidR="000E1519">
        <w:rPr>
          <w:rFonts w:ascii="Calibri" w:hAnsi="Calibri"/>
          <w:sz w:val="22"/>
          <w:szCs w:val="22"/>
        </w:rPr>
        <w:t xml:space="preserve">challenging project approvals </w:t>
      </w:r>
      <w:r w:rsidR="006202B7">
        <w:rPr>
          <w:rFonts w:ascii="Calibri" w:hAnsi="Calibri"/>
          <w:sz w:val="22"/>
          <w:szCs w:val="22"/>
        </w:rPr>
        <w:t xml:space="preserve">is extremely low. </w:t>
      </w:r>
      <w:r w:rsidR="000E1519">
        <w:rPr>
          <w:rFonts w:ascii="Calibri" w:hAnsi="Calibri"/>
          <w:sz w:val="22"/>
          <w:szCs w:val="22"/>
        </w:rPr>
        <w:t>Approximately</w:t>
      </w:r>
      <w:r w:rsidR="006202B7">
        <w:rPr>
          <w:rFonts w:ascii="Calibri" w:hAnsi="Calibri"/>
          <w:sz w:val="22"/>
          <w:szCs w:val="22"/>
        </w:rPr>
        <w:t xml:space="preserve"> one percent of </w:t>
      </w:r>
      <w:r w:rsidR="000E1519">
        <w:rPr>
          <w:rFonts w:ascii="Calibri" w:hAnsi="Calibri"/>
          <w:sz w:val="22"/>
          <w:szCs w:val="22"/>
        </w:rPr>
        <w:t xml:space="preserve">all </w:t>
      </w:r>
      <w:r w:rsidR="006202B7">
        <w:rPr>
          <w:rFonts w:ascii="Calibri" w:hAnsi="Calibri"/>
          <w:sz w:val="22"/>
          <w:szCs w:val="22"/>
        </w:rPr>
        <w:t xml:space="preserve">projects </w:t>
      </w:r>
      <w:r w:rsidR="000E1519">
        <w:rPr>
          <w:rFonts w:ascii="Calibri" w:hAnsi="Calibri"/>
          <w:sz w:val="22"/>
          <w:szCs w:val="22"/>
        </w:rPr>
        <w:t xml:space="preserve">reviewed by state agencies required an environmental impact report (EIR), and roughly the same percentage of projects approved by state agencies were subject to litigation. </w:t>
      </w:r>
      <w:r w:rsidR="000E1519">
        <w:rPr>
          <w:rFonts w:ascii="Calibri" w:hAnsi="Calibri"/>
          <w:sz w:val="22"/>
          <w:szCs w:val="22"/>
        </w:rPr>
        <w:tab/>
      </w:r>
      <w:r w:rsidR="006202B7">
        <w:rPr>
          <w:rFonts w:ascii="Calibri" w:hAnsi="Calibri"/>
          <w:sz w:val="22"/>
          <w:szCs w:val="22"/>
        </w:rPr>
        <w:t xml:space="preserve">  </w:t>
      </w:r>
    </w:p>
    <w:p w:rsidR="00C35AF7" w:rsidRPr="00AD5FF4" w:rsidRDefault="00C35AF7" w:rsidP="00FA4435">
      <w:pPr>
        <w:rPr>
          <w:rFonts w:ascii="Calibri" w:hAnsi="Calibri"/>
          <w:sz w:val="12"/>
          <w:szCs w:val="12"/>
        </w:rPr>
      </w:pPr>
    </w:p>
    <w:p w:rsidR="00830F56" w:rsidRDefault="00830F56" w:rsidP="00FA4435">
      <w:pPr>
        <w:rPr>
          <w:rFonts w:ascii="Calibri" w:hAnsi="Calibri"/>
          <w:sz w:val="22"/>
          <w:szCs w:val="22"/>
        </w:rPr>
      </w:pPr>
    </w:p>
    <w:p w:rsidR="00AD5FF4" w:rsidRPr="00CD6B78" w:rsidRDefault="00B233E9" w:rsidP="00FA4435">
      <w:pPr>
        <w:rPr>
          <w:rFonts w:ascii="Calibri" w:hAnsi="Calibri"/>
          <w:sz w:val="22"/>
          <w:szCs w:val="22"/>
        </w:rPr>
      </w:pPr>
      <w:r>
        <w:rPr>
          <w:rFonts w:ascii="Calibri" w:hAnsi="Calibri"/>
          <w:sz w:val="22"/>
          <w:szCs w:val="22"/>
        </w:rPr>
        <w:t xml:space="preserve">However, despite considerably low percentages of full environmental review and judicial challenges to new project proposals, consternation over CEQA remains. In an effort to improve the process for project review, and to reduce the likelihood, time, and cost of litigation, a volunteer committee of prominent CEQA practitioners and policy experts was convened by bill sponsor, Planning and Conservation League, to </w:t>
      </w:r>
      <w:r w:rsidR="00B37B4D">
        <w:rPr>
          <w:rFonts w:ascii="Calibri" w:hAnsi="Calibri"/>
          <w:sz w:val="22"/>
          <w:szCs w:val="22"/>
        </w:rPr>
        <w:t>construct</w:t>
      </w:r>
      <w:r>
        <w:rPr>
          <w:rFonts w:ascii="Calibri" w:hAnsi="Calibri"/>
          <w:sz w:val="22"/>
          <w:szCs w:val="22"/>
        </w:rPr>
        <w:t xml:space="preserve"> a comprehensive proposal </w:t>
      </w:r>
      <w:r w:rsidR="00B37B4D">
        <w:rPr>
          <w:rFonts w:ascii="Calibri" w:hAnsi="Calibri"/>
          <w:sz w:val="22"/>
          <w:szCs w:val="22"/>
        </w:rPr>
        <w:t xml:space="preserve">to revise and update provisions of </w:t>
      </w:r>
      <w:r>
        <w:rPr>
          <w:rFonts w:ascii="Calibri" w:hAnsi="Calibri"/>
          <w:sz w:val="22"/>
          <w:szCs w:val="22"/>
        </w:rPr>
        <w:t xml:space="preserve">the statute. The volunteer committee </w:t>
      </w:r>
      <w:r w:rsidR="00B37B4D">
        <w:rPr>
          <w:rFonts w:ascii="Calibri" w:hAnsi="Calibri"/>
          <w:sz w:val="22"/>
          <w:szCs w:val="22"/>
        </w:rPr>
        <w:t xml:space="preserve">labored for over a year, and ultimately advanced a package consisting of </w:t>
      </w:r>
      <w:r w:rsidR="00C51888">
        <w:rPr>
          <w:rFonts w:ascii="Calibri" w:hAnsi="Calibri"/>
          <w:sz w:val="22"/>
          <w:szCs w:val="22"/>
        </w:rPr>
        <w:t>a</w:t>
      </w:r>
      <w:r w:rsidR="00B37B4D">
        <w:rPr>
          <w:rFonts w:ascii="Calibri" w:hAnsi="Calibri"/>
          <w:sz w:val="22"/>
          <w:szCs w:val="22"/>
        </w:rPr>
        <w:t xml:space="preserve"> dozen</w:t>
      </w:r>
      <w:r w:rsidR="00C51888">
        <w:rPr>
          <w:rFonts w:ascii="Calibri" w:hAnsi="Calibri"/>
          <w:sz w:val="22"/>
          <w:szCs w:val="22"/>
        </w:rPr>
        <w:t xml:space="preserve"> (and one)</w:t>
      </w:r>
      <w:r w:rsidR="00B37B4D">
        <w:rPr>
          <w:rFonts w:ascii="Calibri" w:hAnsi="Calibri"/>
          <w:sz w:val="22"/>
          <w:szCs w:val="22"/>
        </w:rPr>
        <w:t xml:space="preserve"> proposals.</w:t>
      </w:r>
    </w:p>
    <w:p w:rsidR="00830F56" w:rsidRPr="00CD6B78" w:rsidRDefault="00830F56" w:rsidP="00FA4435">
      <w:pPr>
        <w:rPr>
          <w:rFonts w:ascii="Calibri" w:hAnsi="Calibri"/>
          <w:sz w:val="22"/>
          <w:szCs w:val="22"/>
        </w:rPr>
      </w:pPr>
    </w:p>
    <w:p w:rsidR="00046897" w:rsidRPr="007A7074" w:rsidRDefault="00046897" w:rsidP="00FA4435">
      <w:pPr>
        <w:pStyle w:val="Heading2"/>
        <w:rPr>
          <w:rFonts w:ascii="Calibri" w:hAnsi="Calibri" w:cs="Calibri"/>
          <w:b/>
          <w:sz w:val="24"/>
          <w:szCs w:val="24"/>
        </w:rPr>
      </w:pPr>
      <w:r w:rsidRPr="007A7074">
        <w:rPr>
          <w:rFonts w:ascii="Calibri" w:hAnsi="Calibri" w:cs="Calibri"/>
          <w:b/>
          <w:noProof/>
          <w:sz w:val="24"/>
          <w:szCs w:val="24"/>
        </w:rPr>
        <w:t>Solution</w:t>
      </w:r>
      <w:r w:rsidR="00830F56">
        <w:rPr>
          <w:rFonts w:ascii="Calibri" w:hAnsi="Calibri" w:cs="Calibri"/>
          <w:b/>
          <w:noProof/>
          <w:sz w:val="24"/>
          <w:szCs w:val="24"/>
        </w:rPr>
        <w:t xml:space="preserve">  - </w:t>
      </w:r>
      <w:r w:rsidR="00D2203F">
        <w:rPr>
          <w:rFonts w:ascii="Calibri" w:hAnsi="Calibri" w:cs="Calibri"/>
          <w:b/>
          <w:noProof/>
          <w:sz w:val="24"/>
          <w:szCs w:val="24"/>
        </w:rPr>
        <w:t xml:space="preserve"> SB </w:t>
      </w:r>
      <w:r w:rsidR="00C51888">
        <w:rPr>
          <w:rFonts w:ascii="Calibri" w:hAnsi="Calibri" w:cs="Calibri"/>
          <w:b/>
          <w:noProof/>
          <w:sz w:val="24"/>
          <w:szCs w:val="24"/>
        </w:rPr>
        <w:t>5</w:t>
      </w:r>
      <w:r w:rsidR="00D2203F">
        <w:rPr>
          <w:rFonts w:ascii="Calibri" w:hAnsi="Calibri" w:cs="Calibri"/>
          <w:b/>
          <w:noProof/>
          <w:sz w:val="24"/>
          <w:szCs w:val="24"/>
        </w:rPr>
        <w:t>5</w:t>
      </w:r>
    </w:p>
    <w:p w:rsidR="00046897" w:rsidRPr="007A7074" w:rsidRDefault="00D2203F" w:rsidP="00FA4435">
      <w:pPr>
        <w:rPr>
          <w:rFonts w:ascii="Calibri" w:hAnsi="Calibri" w:cs="Calibri"/>
          <w:sz w:val="22"/>
          <w:szCs w:val="22"/>
        </w:rPr>
      </w:pPr>
      <w:r w:rsidRPr="007A7074">
        <w:rPr>
          <w:rFonts w:ascii="Calibri" w:hAnsi="Calibri" w:cs="Calibri"/>
          <w:b/>
          <w:noProof/>
          <w:sz w:val="24"/>
          <w:szCs w:val="24"/>
        </w:rPr>
        <mc:AlternateContent>
          <mc:Choice Requires="wps">
            <w:drawing>
              <wp:anchor distT="0" distB="0" distL="114300" distR="114300" simplePos="0" relativeHeight="251660800" behindDoc="0" locked="0" layoutInCell="0" allowOverlap="1">
                <wp:simplePos x="0" y="0"/>
                <wp:positionH relativeFrom="column">
                  <wp:posOffset>9525</wp:posOffset>
                </wp:positionH>
                <wp:positionV relativeFrom="paragraph">
                  <wp:posOffset>26035</wp:posOffset>
                </wp:positionV>
                <wp:extent cx="2642235" cy="0"/>
                <wp:effectExtent l="9525" t="12065" r="571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03A9B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5pt" to="20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S7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J6ExvXAkBK7WzoTZ6Vi9mq+l3h5RetUQdeGT4ejGQloWM5E1K2DgD+Pv+s2YQQ45exzad&#10;G9sFSGgAOkc1Lnc1+NkjCof5tMjzJ6BF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" o:allowincell="f"/>
            </w:pict>
          </mc:Fallback>
        </mc:AlternateContent>
      </w:r>
    </w:p>
    <w:p w:rsidR="00C51888" w:rsidRPr="00C51888" w:rsidRDefault="00C51888" w:rsidP="00C51888">
      <w:pPr>
        <w:rPr>
          <w:rFonts w:ascii="Calibri" w:hAnsi="Calibri"/>
          <w:sz w:val="22"/>
          <w:szCs w:val="22"/>
        </w:rPr>
      </w:pPr>
      <w:r w:rsidRPr="00FD6799">
        <w:rPr>
          <w:rFonts w:ascii="Calibri" w:hAnsi="Calibri"/>
          <w:b/>
          <w:sz w:val="22"/>
          <w:szCs w:val="22"/>
        </w:rPr>
        <w:t>Goal 1:</w:t>
      </w:r>
      <w:r w:rsidRPr="00C51888">
        <w:rPr>
          <w:rFonts w:ascii="Calibri" w:hAnsi="Calibri"/>
          <w:sz w:val="22"/>
          <w:szCs w:val="22"/>
        </w:rPr>
        <w:t xml:space="preserve"> </w:t>
      </w:r>
      <w:r w:rsidRPr="00FD6799">
        <w:rPr>
          <w:rFonts w:ascii="Calibri" w:hAnsi="Calibri"/>
          <w:b/>
          <w:sz w:val="22"/>
          <w:szCs w:val="22"/>
        </w:rPr>
        <w:t>Record Streamlining</w:t>
      </w:r>
      <w:r w:rsidRPr="00C51888">
        <w:rPr>
          <w:rFonts w:ascii="Calibri" w:hAnsi="Calibri"/>
          <w:sz w:val="22"/>
          <w:szCs w:val="22"/>
        </w:rPr>
        <w:t xml:space="preserve"> (SEC.</w:t>
      </w:r>
      <w:r w:rsidR="000140BB">
        <w:rPr>
          <w:rFonts w:ascii="Calibri" w:hAnsi="Calibri"/>
          <w:sz w:val="22"/>
          <w:szCs w:val="22"/>
        </w:rPr>
        <w:t>18</w:t>
      </w:r>
      <w:r w:rsidRPr="00C51888">
        <w:rPr>
          <w:rFonts w:ascii="Calibri" w:hAnsi="Calibri"/>
          <w:sz w:val="22"/>
          <w:szCs w:val="22"/>
        </w:rPr>
        <w:t>)</w:t>
      </w:r>
    </w:p>
    <w:p w:rsidR="00C51888" w:rsidRPr="00C51888" w:rsidRDefault="00C51888" w:rsidP="00C51888">
      <w:pPr>
        <w:rPr>
          <w:rFonts w:ascii="Calibri" w:hAnsi="Calibri"/>
          <w:sz w:val="22"/>
          <w:szCs w:val="22"/>
        </w:rPr>
      </w:pPr>
      <w:r>
        <w:rPr>
          <w:rFonts w:ascii="Calibri" w:hAnsi="Calibri"/>
          <w:sz w:val="22"/>
          <w:szCs w:val="22"/>
        </w:rPr>
        <w:t>A</w:t>
      </w:r>
      <w:r w:rsidRPr="00C51888">
        <w:rPr>
          <w:rFonts w:ascii="Calibri" w:hAnsi="Calibri"/>
          <w:sz w:val="22"/>
          <w:szCs w:val="22"/>
        </w:rPr>
        <w:t xml:space="preserve">mendments reduce the time and expense </w:t>
      </w:r>
      <w:r w:rsidR="00FD6799">
        <w:rPr>
          <w:rFonts w:ascii="Calibri" w:hAnsi="Calibri"/>
          <w:sz w:val="22"/>
          <w:szCs w:val="22"/>
        </w:rPr>
        <w:t xml:space="preserve">from preparing </w:t>
      </w:r>
      <w:r>
        <w:rPr>
          <w:rFonts w:ascii="Calibri" w:hAnsi="Calibri"/>
          <w:sz w:val="22"/>
          <w:szCs w:val="22"/>
        </w:rPr>
        <w:t xml:space="preserve">a record </w:t>
      </w:r>
      <w:r w:rsidRPr="00C51888">
        <w:rPr>
          <w:rFonts w:ascii="Calibri" w:hAnsi="Calibri"/>
          <w:sz w:val="22"/>
          <w:szCs w:val="22"/>
        </w:rPr>
        <w:t xml:space="preserve">by encouraging </w:t>
      </w:r>
      <w:r w:rsidR="00FD6799">
        <w:rPr>
          <w:rFonts w:ascii="Calibri" w:hAnsi="Calibri"/>
          <w:sz w:val="22"/>
          <w:szCs w:val="22"/>
        </w:rPr>
        <w:t xml:space="preserve">litigating </w:t>
      </w:r>
      <w:r w:rsidRPr="00C51888">
        <w:rPr>
          <w:rFonts w:ascii="Calibri" w:hAnsi="Calibri"/>
          <w:sz w:val="22"/>
          <w:szCs w:val="22"/>
        </w:rPr>
        <w:t xml:space="preserve">parties to engage in coordinated, cooperative effort to streamline the record content. </w:t>
      </w:r>
    </w:p>
    <w:p w:rsidR="00C51888" w:rsidRPr="00C51888" w:rsidRDefault="00C51888" w:rsidP="00C51888">
      <w:pPr>
        <w:ind w:left="1440" w:hanging="1440"/>
        <w:rPr>
          <w:rFonts w:ascii="Calibri" w:hAnsi="Calibri"/>
          <w:sz w:val="22"/>
          <w:szCs w:val="22"/>
        </w:rPr>
      </w:pPr>
    </w:p>
    <w:p w:rsidR="00C51888" w:rsidRPr="00C51888" w:rsidRDefault="00FD6799" w:rsidP="00C51888">
      <w:pPr>
        <w:ind w:left="1440" w:hanging="1440"/>
        <w:rPr>
          <w:rFonts w:ascii="Calibri" w:hAnsi="Calibri"/>
          <w:sz w:val="22"/>
          <w:szCs w:val="22"/>
        </w:rPr>
      </w:pPr>
      <w:r>
        <w:rPr>
          <w:rFonts w:ascii="Calibri" w:hAnsi="Calibri"/>
          <w:b/>
          <w:sz w:val="22"/>
          <w:szCs w:val="22"/>
        </w:rPr>
        <w:t>Goal 2: Case Management</w:t>
      </w:r>
      <w:r w:rsidR="00C51888" w:rsidRPr="00FD6799">
        <w:rPr>
          <w:rFonts w:ascii="Calibri" w:hAnsi="Calibri"/>
          <w:b/>
          <w:sz w:val="22"/>
          <w:szCs w:val="22"/>
        </w:rPr>
        <w:t xml:space="preserve"> Procedures</w:t>
      </w:r>
      <w:r w:rsidR="00C51888" w:rsidRPr="00C51888">
        <w:rPr>
          <w:rFonts w:ascii="Calibri" w:hAnsi="Calibri"/>
          <w:sz w:val="22"/>
          <w:szCs w:val="22"/>
        </w:rPr>
        <w:t xml:space="preserve"> (SEC. 1</w:t>
      </w:r>
      <w:r w:rsidR="000140BB">
        <w:rPr>
          <w:rFonts w:ascii="Calibri" w:hAnsi="Calibri"/>
          <w:sz w:val="22"/>
          <w:szCs w:val="22"/>
        </w:rPr>
        <w:t>7</w:t>
      </w:r>
      <w:r w:rsidR="00C51888" w:rsidRPr="00C51888">
        <w:rPr>
          <w:rFonts w:ascii="Calibri" w:hAnsi="Calibri"/>
          <w:sz w:val="22"/>
          <w:szCs w:val="22"/>
        </w:rPr>
        <w:t xml:space="preserve">, </w:t>
      </w:r>
      <w:r w:rsidR="000140BB">
        <w:rPr>
          <w:rFonts w:ascii="Calibri" w:hAnsi="Calibri"/>
          <w:sz w:val="22"/>
          <w:szCs w:val="22"/>
        </w:rPr>
        <w:t>18</w:t>
      </w:r>
      <w:r w:rsidR="00C51888" w:rsidRPr="00C51888">
        <w:rPr>
          <w:rFonts w:ascii="Calibri" w:hAnsi="Calibri"/>
          <w:sz w:val="22"/>
          <w:szCs w:val="22"/>
        </w:rPr>
        <w:t>, 2</w:t>
      </w:r>
      <w:r w:rsidR="000140BB">
        <w:rPr>
          <w:rFonts w:ascii="Calibri" w:hAnsi="Calibri"/>
          <w:sz w:val="22"/>
          <w:szCs w:val="22"/>
        </w:rPr>
        <w:t>0</w:t>
      </w:r>
      <w:r w:rsidR="00C51888" w:rsidRPr="00C51888">
        <w:rPr>
          <w:rFonts w:ascii="Calibri" w:hAnsi="Calibri"/>
          <w:sz w:val="22"/>
          <w:szCs w:val="22"/>
        </w:rPr>
        <w:t xml:space="preserve">) </w:t>
      </w:r>
    </w:p>
    <w:p w:rsidR="00C51888" w:rsidRPr="00C51888" w:rsidRDefault="00C51888" w:rsidP="00C51888">
      <w:pPr>
        <w:rPr>
          <w:rFonts w:ascii="Calibri" w:hAnsi="Calibri"/>
          <w:sz w:val="22"/>
          <w:szCs w:val="22"/>
        </w:rPr>
      </w:pPr>
      <w:r>
        <w:rPr>
          <w:rFonts w:ascii="Calibri" w:hAnsi="Calibri"/>
          <w:sz w:val="22"/>
          <w:szCs w:val="22"/>
        </w:rPr>
        <w:t>Amendments</w:t>
      </w:r>
      <w:r w:rsidRPr="00C51888">
        <w:rPr>
          <w:rFonts w:ascii="Calibri" w:hAnsi="Calibri"/>
          <w:sz w:val="22"/>
          <w:szCs w:val="22"/>
        </w:rPr>
        <w:t xml:space="preserve"> establish an early mandatory Case Management Conference (CMC) enabling parties and the court to facilitate expeditious resolution of issues that could delay the timely completion of a sufficient record.</w:t>
      </w:r>
    </w:p>
    <w:p w:rsidR="00C51888" w:rsidRPr="00C51888" w:rsidRDefault="00C51888"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Goal 3: Tolling Agreements</w:t>
      </w:r>
      <w:r w:rsidRPr="00C51888">
        <w:rPr>
          <w:rFonts w:ascii="Calibri" w:hAnsi="Calibri"/>
          <w:sz w:val="22"/>
          <w:szCs w:val="22"/>
        </w:rPr>
        <w:t xml:space="preserve"> (SEC. 1</w:t>
      </w:r>
      <w:r w:rsidR="000140BB">
        <w:rPr>
          <w:rFonts w:ascii="Calibri" w:hAnsi="Calibri"/>
          <w:sz w:val="22"/>
          <w:szCs w:val="22"/>
        </w:rPr>
        <w:t>4</w:t>
      </w:r>
      <w:r w:rsidRPr="00C51888">
        <w:rPr>
          <w:rFonts w:ascii="Calibri" w:hAnsi="Calibri"/>
          <w:sz w:val="22"/>
          <w:szCs w:val="22"/>
        </w:rPr>
        <w:t xml:space="preserve">, </w:t>
      </w:r>
      <w:r w:rsidR="000140BB" w:rsidRPr="000140BB">
        <w:rPr>
          <w:rFonts w:ascii="Calibri" w:hAnsi="Calibri"/>
          <w:sz w:val="22"/>
          <w:szCs w:val="22"/>
        </w:rPr>
        <w:t>5</w:t>
      </w:r>
      <w:r w:rsidR="00D60E45" w:rsidRPr="000140BB">
        <w:rPr>
          <w:rFonts w:ascii="Calibri" w:hAnsi="Calibri"/>
          <w:sz w:val="22"/>
          <w:szCs w:val="22"/>
        </w:rPr>
        <w:t xml:space="preserve">, </w:t>
      </w:r>
      <w:r w:rsidR="000140BB" w:rsidRPr="000140BB">
        <w:rPr>
          <w:rFonts w:ascii="Calibri" w:hAnsi="Calibri"/>
          <w:sz w:val="22"/>
          <w:szCs w:val="22"/>
        </w:rPr>
        <w:t>6</w:t>
      </w:r>
      <w:r w:rsidRPr="000140BB">
        <w:rPr>
          <w:rFonts w:ascii="Calibri" w:hAnsi="Calibri"/>
          <w:sz w:val="22"/>
          <w:szCs w:val="22"/>
        </w:rPr>
        <w:t>)</w:t>
      </w:r>
    </w:p>
    <w:p w:rsidR="00C51888" w:rsidRPr="00C51888" w:rsidRDefault="00FD6799" w:rsidP="00C51888">
      <w:pPr>
        <w:rPr>
          <w:rFonts w:ascii="Calibri" w:hAnsi="Calibri"/>
          <w:sz w:val="22"/>
          <w:szCs w:val="22"/>
        </w:rPr>
      </w:pPr>
      <w:r>
        <w:rPr>
          <w:rFonts w:ascii="Calibri" w:hAnsi="Calibri"/>
          <w:sz w:val="22"/>
          <w:szCs w:val="22"/>
        </w:rPr>
        <w:t>A</w:t>
      </w:r>
      <w:r w:rsidR="00C51888" w:rsidRPr="00C51888">
        <w:rPr>
          <w:rFonts w:ascii="Calibri" w:hAnsi="Calibri"/>
          <w:sz w:val="22"/>
          <w:szCs w:val="22"/>
        </w:rPr>
        <w:t xml:space="preserve">mendments clarify that tolling agreements are effective to toll the commonly applicable statutes of limitations, and that legal counsel for a public agency has the authority to execute tolling agreements on behalf of that agency. </w:t>
      </w:r>
    </w:p>
    <w:p w:rsidR="00C51888" w:rsidRPr="00C51888" w:rsidRDefault="00C51888" w:rsidP="00C51888">
      <w:pPr>
        <w:rPr>
          <w:rFonts w:ascii="Calibri" w:hAnsi="Calibri"/>
          <w:sz w:val="22"/>
          <w:szCs w:val="22"/>
        </w:rPr>
      </w:pPr>
    </w:p>
    <w:p w:rsidR="00C51888" w:rsidRPr="00C51888" w:rsidRDefault="00C51888" w:rsidP="00C51888">
      <w:pPr>
        <w:ind w:left="1440" w:hanging="1440"/>
        <w:rPr>
          <w:rFonts w:ascii="Calibri" w:hAnsi="Calibri"/>
          <w:sz w:val="22"/>
          <w:szCs w:val="22"/>
        </w:rPr>
      </w:pPr>
      <w:r w:rsidRPr="00FD6799">
        <w:rPr>
          <w:rFonts w:ascii="Calibri" w:hAnsi="Calibri"/>
          <w:b/>
          <w:sz w:val="22"/>
          <w:szCs w:val="22"/>
        </w:rPr>
        <w:t xml:space="preserve">Goal 4: Pre-hearing Settlement Meeting </w:t>
      </w:r>
      <w:r w:rsidRPr="00C51888">
        <w:rPr>
          <w:rFonts w:ascii="Calibri" w:hAnsi="Calibri"/>
          <w:sz w:val="22"/>
          <w:szCs w:val="22"/>
        </w:rPr>
        <w:t xml:space="preserve">(SEC. </w:t>
      </w:r>
      <w:r w:rsidR="000140BB">
        <w:rPr>
          <w:rFonts w:ascii="Calibri" w:hAnsi="Calibri"/>
          <w:sz w:val="22"/>
          <w:szCs w:val="22"/>
        </w:rPr>
        <w:t>19</w:t>
      </w:r>
      <w:r w:rsidRPr="00C51888">
        <w:rPr>
          <w:rFonts w:ascii="Calibri" w:hAnsi="Calibri"/>
          <w:sz w:val="22"/>
          <w:szCs w:val="22"/>
        </w:rPr>
        <w:t>, 2</w:t>
      </w:r>
      <w:r w:rsidR="000140BB">
        <w:rPr>
          <w:rFonts w:ascii="Calibri" w:hAnsi="Calibri"/>
          <w:sz w:val="22"/>
          <w:szCs w:val="22"/>
        </w:rPr>
        <w:t>0</w:t>
      </w:r>
      <w:r w:rsidRPr="00C51888">
        <w:rPr>
          <w:rFonts w:ascii="Calibri" w:hAnsi="Calibri"/>
          <w:sz w:val="22"/>
          <w:szCs w:val="22"/>
        </w:rPr>
        <w:t>)</w:t>
      </w:r>
    </w:p>
    <w:p w:rsidR="00C51888" w:rsidRPr="00C51888" w:rsidRDefault="00FD6799" w:rsidP="00C51888">
      <w:pPr>
        <w:rPr>
          <w:rFonts w:ascii="Calibri" w:hAnsi="Calibri"/>
          <w:sz w:val="22"/>
          <w:szCs w:val="22"/>
        </w:rPr>
      </w:pPr>
      <w:r>
        <w:rPr>
          <w:rFonts w:ascii="Calibri" w:hAnsi="Calibri"/>
          <w:sz w:val="22"/>
          <w:szCs w:val="22"/>
        </w:rPr>
        <w:t>A</w:t>
      </w:r>
      <w:r w:rsidR="00C51888" w:rsidRPr="00C51888">
        <w:rPr>
          <w:rFonts w:ascii="Calibri" w:hAnsi="Calibri"/>
          <w:sz w:val="22"/>
          <w:szCs w:val="22"/>
        </w:rPr>
        <w:t xml:space="preserve">mendments </w:t>
      </w:r>
      <w:r>
        <w:rPr>
          <w:rFonts w:ascii="Calibri" w:hAnsi="Calibri"/>
          <w:sz w:val="22"/>
          <w:szCs w:val="22"/>
        </w:rPr>
        <w:t>revise</w:t>
      </w:r>
      <w:r w:rsidR="00C51888" w:rsidRPr="00C51888">
        <w:rPr>
          <w:rFonts w:ascii="Calibri" w:hAnsi="Calibri"/>
          <w:sz w:val="22"/>
          <w:szCs w:val="22"/>
        </w:rPr>
        <w:t xml:space="preserve"> </w:t>
      </w:r>
      <w:r>
        <w:rPr>
          <w:rFonts w:ascii="Calibri" w:hAnsi="Calibri"/>
          <w:sz w:val="22"/>
          <w:szCs w:val="22"/>
        </w:rPr>
        <w:t xml:space="preserve">current provisions governing mandatory settlement conferences, allowing an initial </w:t>
      </w:r>
      <w:r w:rsidR="00C51888" w:rsidRPr="00C51888">
        <w:rPr>
          <w:rFonts w:ascii="Calibri" w:hAnsi="Calibri"/>
          <w:sz w:val="22"/>
          <w:szCs w:val="22"/>
        </w:rPr>
        <w:t xml:space="preserve">meeting to </w:t>
      </w:r>
      <w:r>
        <w:rPr>
          <w:rFonts w:ascii="Calibri" w:hAnsi="Calibri"/>
          <w:sz w:val="22"/>
          <w:szCs w:val="22"/>
        </w:rPr>
        <w:t>occur by phone, and among</w:t>
      </w:r>
      <w:r w:rsidR="00C51888" w:rsidRPr="00C51888">
        <w:rPr>
          <w:rFonts w:ascii="Calibri" w:hAnsi="Calibri"/>
          <w:sz w:val="22"/>
          <w:szCs w:val="22"/>
        </w:rPr>
        <w:t xml:space="preserve"> </w:t>
      </w:r>
      <w:r>
        <w:rPr>
          <w:rFonts w:ascii="Calibri" w:hAnsi="Calibri"/>
          <w:sz w:val="22"/>
          <w:szCs w:val="22"/>
        </w:rPr>
        <w:t>counsel only.</w:t>
      </w:r>
      <w:r w:rsidR="00C51888" w:rsidRPr="00C51888">
        <w:rPr>
          <w:rFonts w:ascii="Calibri" w:hAnsi="Calibri"/>
          <w:sz w:val="22"/>
          <w:szCs w:val="22"/>
        </w:rPr>
        <w:t xml:space="preserve"> </w:t>
      </w:r>
      <w:r>
        <w:rPr>
          <w:rFonts w:ascii="Calibri" w:hAnsi="Calibri"/>
          <w:sz w:val="22"/>
          <w:szCs w:val="22"/>
        </w:rPr>
        <w:t>Amendments additionally provide for a second</w:t>
      </w:r>
      <w:r w:rsidR="00C51888" w:rsidRPr="00C51888">
        <w:rPr>
          <w:rFonts w:ascii="Calibri" w:hAnsi="Calibri"/>
          <w:sz w:val="22"/>
          <w:szCs w:val="22"/>
        </w:rPr>
        <w:t xml:space="preserve"> </w:t>
      </w:r>
      <w:r>
        <w:rPr>
          <w:rFonts w:ascii="Calibri" w:hAnsi="Calibri"/>
          <w:sz w:val="22"/>
          <w:szCs w:val="22"/>
        </w:rPr>
        <w:t>settlement meeting</w:t>
      </w:r>
      <w:r w:rsidR="00C51888" w:rsidRPr="00C51888">
        <w:rPr>
          <w:rFonts w:ascii="Calibri" w:hAnsi="Calibri"/>
          <w:sz w:val="22"/>
          <w:szCs w:val="22"/>
        </w:rPr>
        <w:t xml:space="preserve"> after the mandatory case management conference (Goal 2), </w:t>
      </w:r>
      <w:r>
        <w:rPr>
          <w:rFonts w:ascii="Calibri" w:hAnsi="Calibri"/>
          <w:sz w:val="22"/>
          <w:szCs w:val="22"/>
        </w:rPr>
        <w:t xml:space="preserve">with all parties present, </w:t>
      </w:r>
      <w:r w:rsidR="00C51888" w:rsidRPr="00C51888">
        <w:rPr>
          <w:rFonts w:ascii="Calibri" w:hAnsi="Calibri"/>
          <w:sz w:val="22"/>
          <w:szCs w:val="22"/>
        </w:rPr>
        <w:t xml:space="preserve">to increase the chance of fruitful settlements. </w:t>
      </w:r>
    </w:p>
    <w:p w:rsidR="00FD6799" w:rsidRDefault="00FD6799"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lastRenderedPageBreak/>
        <w:t xml:space="preserve">Goal 5: CEQA </w:t>
      </w:r>
      <w:r w:rsidR="00363B70">
        <w:rPr>
          <w:rFonts w:ascii="Calibri" w:hAnsi="Calibri"/>
          <w:b/>
          <w:sz w:val="22"/>
          <w:szCs w:val="22"/>
        </w:rPr>
        <w:t xml:space="preserve">Judicial </w:t>
      </w:r>
      <w:r w:rsidRPr="00FD6799">
        <w:rPr>
          <w:rFonts w:ascii="Calibri" w:hAnsi="Calibri"/>
          <w:b/>
          <w:sz w:val="22"/>
          <w:szCs w:val="22"/>
        </w:rPr>
        <w:t>Expertise</w:t>
      </w:r>
      <w:r w:rsidRPr="00C51888">
        <w:rPr>
          <w:rFonts w:ascii="Calibri" w:hAnsi="Calibri"/>
          <w:sz w:val="22"/>
          <w:szCs w:val="22"/>
        </w:rPr>
        <w:t xml:space="preserve"> (SEC. 1</w:t>
      </w:r>
      <w:r w:rsidR="000140BB">
        <w:rPr>
          <w:rFonts w:ascii="Calibri" w:hAnsi="Calibri"/>
          <w:sz w:val="22"/>
          <w:szCs w:val="22"/>
        </w:rPr>
        <w:t>5</w:t>
      </w:r>
      <w:r w:rsidRPr="00C51888">
        <w:rPr>
          <w:rFonts w:ascii="Calibri" w:hAnsi="Calibri"/>
          <w:sz w:val="22"/>
          <w:szCs w:val="22"/>
        </w:rPr>
        <w:t>, 1</w:t>
      </w:r>
      <w:r w:rsidR="000140BB">
        <w:rPr>
          <w:rFonts w:ascii="Calibri" w:hAnsi="Calibri"/>
          <w:sz w:val="22"/>
          <w:szCs w:val="22"/>
        </w:rPr>
        <w:t>6</w:t>
      </w:r>
      <w:r w:rsidRPr="00C51888">
        <w:rPr>
          <w:rFonts w:ascii="Calibri" w:hAnsi="Calibri"/>
          <w:sz w:val="22"/>
          <w:szCs w:val="22"/>
        </w:rPr>
        <w:t xml:space="preserve">)  </w:t>
      </w:r>
    </w:p>
    <w:p w:rsidR="00C51888" w:rsidRPr="00C51888" w:rsidRDefault="00FD6799" w:rsidP="00C51888">
      <w:pPr>
        <w:rPr>
          <w:rFonts w:ascii="Calibri" w:hAnsi="Calibri"/>
          <w:sz w:val="22"/>
          <w:szCs w:val="22"/>
        </w:rPr>
      </w:pPr>
      <w:r>
        <w:rPr>
          <w:rFonts w:ascii="Calibri" w:hAnsi="Calibri"/>
          <w:sz w:val="22"/>
          <w:szCs w:val="22"/>
        </w:rPr>
        <w:t>Amendments</w:t>
      </w:r>
      <w:r w:rsidR="00C51888" w:rsidRPr="00C51888">
        <w:rPr>
          <w:rFonts w:ascii="Calibri" w:hAnsi="Calibri"/>
          <w:sz w:val="22"/>
          <w:szCs w:val="22"/>
        </w:rPr>
        <w:t xml:space="preserve"> encourage </w:t>
      </w:r>
      <w:r>
        <w:rPr>
          <w:rFonts w:ascii="Calibri" w:hAnsi="Calibri"/>
          <w:sz w:val="22"/>
          <w:szCs w:val="22"/>
        </w:rPr>
        <w:t xml:space="preserve">the state court system </w:t>
      </w:r>
      <w:r w:rsidR="00C51888" w:rsidRPr="00C51888">
        <w:rPr>
          <w:rFonts w:ascii="Calibri" w:hAnsi="Calibri"/>
          <w:sz w:val="22"/>
          <w:szCs w:val="22"/>
        </w:rPr>
        <w:t>to extend the normal terms of CEQA judges in order to facilitate the accumulation of CEQA e</w:t>
      </w:r>
      <w:r>
        <w:rPr>
          <w:rFonts w:ascii="Calibri" w:hAnsi="Calibri"/>
          <w:sz w:val="22"/>
          <w:szCs w:val="22"/>
        </w:rPr>
        <w:t xml:space="preserve">xpertise over time; require </w:t>
      </w:r>
      <w:r w:rsidR="00C51888" w:rsidRPr="00C51888">
        <w:rPr>
          <w:rFonts w:ascii="Calibri" w:hAnsi="Calibri"/>
          <w:sz w:val="22"/>
          <w:szCs w:val="22"/>
        </w:rPr>
        <w:t xml:space="preserve">Judicial Council to undertake a study to formulate recommendations for how, if necessary, to expand the number of CEQA judges and to facilitate the transfer of complex CEQA cases to experienced CEQA judges; </w:t>
      </w:r>
      <w:r>
        <w:rPr>
          <w:rFonts w:ascii="Calibri" w:hAnsi="Calibri"/>
          <w:sz w:val="22"/>
          <w:szCs w:val="22"/>
        </w:rPr>
        <w:t>Amendments further a</w:t>
      </w:r>
      <w:r w:rsidR="00C51888" w:rsidRPr="00C51888">
        <w:rPr>
          <w:rFonts w:ascii="Calibri" w:hAnsi="Calibri"/>
          <w:sz w:val="22"/>
          <w:szCs w:val="22"/>
        </w:rPr>
        <w:t xml:space="preserve">llow any party the right to make a motion to transfer the case to a county with a CEQA judge or to have the Judicial Council appoint a CEQA judge to hear the case in the locale the matter was originally filed. </w:t>
      </w:r>
    </w:p>
    <w:p w:rsidR="00C51888" w:rsidRPr="00C51888" w:rsidRDefault="00C51888"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Goal 6: Final EIR Comments</w:t>
      </w:r>
      <w:r w:rsidRPr="00C51888">
        <w:rPr>
          <w:rFonts w:ascii="Calibri" w:hAnsi="Calibri"/>
          <w:sz w:val="22"/>
          <w:szCs w:val="22"/>
        </w:rPr>
        <w:t xml:space="preserve"> (SEC. 1</w:t>
      </w:r>
      <w:r w:rsidR="000140BB">
        <w:rPr>
          <w:rFonts w:ascii="Calibri" w:hAnsi="Calibri"/>
          <w:sz w:val="22"/>
          <w:szCs w:val="22"/>
        </w:rPr>
        <w:t>3</w:t>
      </w:r>
      <w:r w:rsidRPr="00C51888">
        <w:rPr>
          <w:rFonts w:ascii="Calibri" w:hAnsi="Calibri"/>
          <w:sz w:val="22"/>
          <w:szCs w:val="22"/>
        </w:rPr>
        <w:t>, 2</w:t>
      </w:r>
      <w:r w:rsidR="000140BB">
        <w:rPr>
          <w:rFonts w:ascii="Calibri" w:hAnsi="Calibri"/>
          <w:sz w:val="22"/>
          <w:szCs w:val="22"/>
        </w:rPr>
        <w:t>3</w:t>
      </w:r>
      <w:r w:rsidRPr="00C51888">
        <w:rPr>
          <w:rFonts w:ascii="Calibri" w:hAnsi="Calibri"/>
          <w:sz w:val="22"/>
          <w:szCs w:val="22"/>
        </w:rPr>
        <w:t>)</w:t>
      </w:r>
    </w:p>
    <w:p w:rsidR="00C51888" w:rsidRPr="00C51888" w:rsidRDefault="00C51888" w:rsidP="00C51888">
      <w:pPr>
        <w:rPr>
          <w:rFonts w:ascii="Calibri" w:hAnsi="Calibri"/>
          <w:sz w:val="22"/>
          <w:szCs w:val="22"/>
        </w:rPr>
      </w:pPr>
      <w:r w:rsidRPr="00C51888">
        <w:rPr>
          <w:rFonts w:ascii="Calibri" w:hAnsi="Calibri"/>
          <w:sz w:val="22"/>
          <w:szCs w:val="22"/>
        </w:rPr>
        <w:t xml:space="preserve">To avoid </w:t>
      </w:r>
      <w:r w:rsidR="00363B70">
        <w:rPr>
          <w:rFonts w:ascii="Calibri" w:hAnsi="Calibri"/>
          <w:sz w:val="22"/>
          <w:szCs w:val="22"/>
        </w:rPr>
        <w:t xml:space="preserve">submission of </w:t>
      </w:r>
      <w:r w:rsidRPr="00C51888">
        <w:rPr>
          <w:rFonts w:ascii="Calibri" w:hAnsi="Calibri"/>
          <w:sz w:val="22"/>
          <w:szCs w:val="22"/>
        </w:rPr>
        <w:t>“eleve</w:t>
      </w:r>
      <w:r w:rsidR="00363B70">
        <w:rPr>
          <w:rFonts w:ascii="Calibri" w:hAnsi="Calibri"/>
          <w:sz w:val="22"/>
          <w:szCs w:val="22"/>
        </w:rPr>
        <w:t>nth hour” comments which agencies cannot adequately review</w:t>
      </w:r>
      <w:r w:rsidRPr="00C51888">
        <w:rPr>
          <w:rFonts w:ascii="Calibri" w:hAnsi="Calibri"/>
          <w:sz w:val="22"/>
          <w:szCs w:val="22"/>
        </w:rPr>
        <w:t xml:space="preserve">, amendments provide for an </w:t>
      </w:r>
      <w:r w:rsidRPr="00363B70">
        <w:rPr>
          <w:rFonts w:ascii="Calibri" w:hAnsi="Calibri"/>
          <w:sz w:val="22"/>
          <w:szCs w:val="22"/>
        </w:rPr>
        <w:t>optional</w:t>
      </w:r>
      <w:r w:rsidRPr="00C51888">
        <w:rPr>
          <w:rFonts w:ascii="Calibri" w:hAnsi="Calibri"/>
          <w:sz w:val="22"/>
          <w:szCs w:val="22"/>
        </w:rPr>
        <w:t xml:space="preserve"> alternative process whereby FEIRs are released for public review at least 30 days before a hearing on project approval, and written comments on those FEIRs must be submitted at least 10 days before final hearing. </w:t>
      </w:r>
    </w:p>
    <w:p w:rsidR="00FD6799" w:rsidRDefault="00FD6799"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 xml:space="preserve">Goal </w:t>
      </w:r>
      <w:r w:rsidR="000140BB">
        <w:rPr>
          <w:rFonts w:ascii="Calibri" w:hAnsi="Calibri"/>
          <w:b/>
          <w:sz w:val="22"/>
          <w:szCs w:val="22"/>
        </w:rPr>
        <w:t>7</w:t>
      </w:r>
      <w:r w:rsidRPr="00FD6799">
        <w:rPr>
          <w:rFonts w:ascii="Calibri" w:hAnsi="Calibri"/>
          <w:b/>
          <w:sz w:val="22"/>
          <w:szCs w:val="22"/>
        </w:rPr>
        <w:t>: “Tuolumne Jobs Fix”</w:t>
      </w:r>
      <w:r w:rsidRPr="00C51888">
        <w:rPr>
          <w:rFonts w:ascii="Calibri" w:hAnsi="Calibri"/>
          <w:sz w:val="22"/>
          <w:szCs w:val="22"/>
        </w:rPr>
        <w:t xml:space="preserve"> (SEC</w:t>
      </w:r>
      <w:r w:rsidRPr="002A4C30">
        <w:rPr>
          <w:rFonts w:ascii="Calibri" w:hAnsi="Calibri"/>
          <w:sz w:val="22"/>
          <w:szCs w:val="22"/>
        </w:rPr>
        <w:t xml:space="preserve">. </w:t>
      </w:r>
      <w:r w:rsidR="000140BB" w:rsidRPr="000140BB">
        <w:rPr>
          <w:rFonts w:ascii="Calibri" w:hAnsi="Calibri"/>
          <w:sz w:val="22"/>
          <w:szCs w:val="22"/>
        </w:rPr>
        <w:t>2, 3, 4</w:t>
      </w:r>
      <w:r w:rsidRPr="000140BB">
        <w:rPr>
          <w:rFonts w:ascii="Calibri" w:hAnsi="Calibri"/>
          <w:sz w:val="22"/>
          <w:szCs w:val="22"/>
        </w:rPr>
        <w:t>)</w:t>
      </w:r>
    </w:p>
    <w:p w:rsidR="00C51888" w:rsidRPr="00C51888" w:rsidRDefault="00C51888" w:rsidP="00C51888">
      <w:pPr>
        <w:rPr>
          <w:rFonts w:ascii="Calibri" w:hAnsi="Calibri"/>
          <w:sz w:val="22"/>
          <w:szCs w:val="22"/>
        </w:rPr>
      </w:pPr>
      <w:r w:rsidRPr="00C51888">
        <w:rPr>
          <w:rFonts w:ascii="Calibri" w:hAnsi="Calibri"/>
          <w:sz w:val="22"/>
          <w:szCs w:val="22"/>
        </w:rPr>
        <w:t xml:space="preserve">To avoid the </w:t>
      </w:r>
      <w:r w:rsidR="00363B70">
        <w:rPr>
          <w:rFonts w:ascii="Calibri" w:hAnsi="Calibri"/>
          <w:sz w:val="22"/>
          <w:szCs w:val="22"/>
        </w:rPr>
        <w:t>by</w:t>
      </w:r>
      <w:r w:rsidRPr="00C51888">
        <w:rPr>
          <w:rFonts w:ascii="Calibri" w:hAnsi="Calibri"/>
          <w:sz w:val="22"/>
          <w:szCs w:val="22"/>
        </w:rPr>
        <w:t>passing of CEQA, allowed by a loop hole in Elections Code, this amendment requires that voter-sponsored initiative measures not be directly a</w:t>
      </w:r>
      <w:r w:rsidR="00363B70">
        <w:rPr>
          <w:rFonts w:ascii="Calibri" w:hAnsi="Calibri"/>
          <w:sz w:val="22"/>
          <w:szCs w:val="22"/>
        </w:rPr>
        <w:t>pproved by the legislative body</w:t>
      </w:r>
      <w:r w:rsidRPr="00C51888">
        <w:rPr>
          <w:rFonts w:ascii="Calibri" w:hAnsi="Calibri"/>
          <w:sz w:val="22"/>
          <w:szCs w:val="22"/>
        </w:rPr>
        <w:t xml:space="preserve"> whenever </w:t>
      </w:r>
      <w:r w:rsidR="00363B70">
        <w:rPr>
          <w:rFonts w:ascii="Calibri" w:hAnsi="Calibri"/>
          <w:sz w:val="22"/>
          <w:szCs w:val="22"/>
        </w:rPr>
        <w:t xml:space="preserve">that </w:t>
      </w:r>
      <w:r w:rsidRPr="00C51888">
        <w:rPr>
          <w:rFonts w:ascii="Calibri" w:hAnsi="Calibri"/>
          <w:sz w:val="22"/>
          <w:szCs w:val="22"/>
        </w:rPr>
        <w:t xml:space="preserve">approval would constitute an approval of a “project” within the meaning of CEQA. Rather, </w:t>
      </w:r>
      <w:r w:rsidR="00363B70">
        <w:rPr>
          <w:rFonts w:ascii="Calibri" w:hAnsi="Calibri"/>
          <w:sz w:val="22"/>
          <w:szCs w:val="22"/>
        </w:rPr>
        <w:t xml:space="preserve">all </w:t>
      </w:r>
      <w:r w:rsidRPr="00C51888">
        <w:rPr>
          <w:rFonts w:ascii="Calibri" w:hAnsi="Calibri"/>
          <w:sz w:val="22"/>
          <w:szCs w:val="22"/>
        </w:rPr>
        <w:t>such initiative</w:t>
      </w:r>
      <w:r w:rsidR="00363B70">
        <w:rPr>
          <w:rFonts w:ascii="Calibri" w:hAnsi="Calibri"/>
          <w:sz w:val="22"/>
          <w:szCs w:val="22"/>
        </w:rPr>
        <w:t>s</w:t>
      </w:r>
      <w:r w:rsidRPr="00C51888">
        <w:rPr>
          <w:rFonts w:ascii="Calibri" w:hAnsi="Calibri"/>
          <w:sz w:val="22"/>
          <w:szCs w:val="22"/>
        </w:rPr>
        <w:t xml:space="preserve"> must go to the ballot. </w:t>
      </w:r>
    </w:p>
    <w:p w:rsidR="00C51888" w:rsidRPr="00C51888" w:rsidRDefault="00C51888"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 xml:space="preserve">Goal </w:t>
      </w:r>
      <w:r w:rsidR="000140BB">
        <w:rPr>
          <w:rFonts w:ascii="Calibri" w:hAnsi="Calibri"/>
          <w:b/>
          <w:sz w:val="22"/>
          <w:szCs w:val="22"/>
        </w:rPr>
        <w:t>8</w:t>
      </w:r>
      <w:r w:rsidRPr="00FD6799">
        <w:rPr>
          <w:rFonts w:ascii="Calibri" w:hAnsi="Calibri"/>
          <w:b/>
          <w:sz w:val="22"/>
          <w:szCs w:val="22"/>
        </w:rPr>
        <w:t>: Emergency Housing Exemption</w:t>
      </w:r>
      <w:r w:rsidRPr="00C51888">
        <w:rPr>
          <w:rFonts w:ascii="Calibri" w:hAnsi="Calibri"/>
          <w:sz w:val="22"/>
          <w:szCs w:val="22"/>
        </w:rPr>
        <w:t xml:space="preserve"> (SEC. 1</w:t>
      </w:r>
      <w:r w:rsidR="00820AFC">
        <w:rPr>
          <w:rFonts w:ascii="Calibri" w:hAnsi="Calibri"/>
          <w:sz w:val="22"/>
          <w:szCs w:val="22"/>
        </w:rPr>
        <w:t>2</w:t>
      </w:r>
      <w:r w:rsidRPr="00C51888">
        <w:rPr>
          <w:rFonts w:ascii="Calibri" w:hAnsi="Calibri"/>
          <w:sz w:val="22"/>
          <w:szCs w:val="22"/>
        </w:rPr>
        <w:t xml:space="preserve">) </w:t>
      </w:r>
    </w:p>
    <w:p w:rsidR="00C51888" w:rsidRPr="00C51888" w:rsidRDefault="00C51888" w:rsidP="00C51888">
      <w:pPr>
        <w:rPr>
          <w:rFonts w:ascii="Calibri" w:hAnsi="Calibri"/>
          <w:sz w:val="22"/>
          <w:szCs w:val="22"/>
        </w:rPr>
      </w:pPr>
      <w:r w:rsidRPr="00C51888">
        <w:rPr>
          <w:rFonts w:ascii="Calibri" w:hAnsi="Calibri"/>
          <w:sz w:val="22"/>
          <w:szCs w:val="22"/>
        </w:rPr>
        <w:t xml:space="preserve">To avoid bad-faith challenges to housing of our state’s most vulnerable residents, this amendment exempts homeless shelters, and supportive housing projects in urbanized areas from the need to comply with CEQA, when meeting prescribed criteria. </w:t>
      </w:r>
    </w:p>
    <w:p w:rsidR="00C51888" w:rsidRPr="00C51888" w:rsidRDefault="00C51888"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 xml:space="preserve">Goal </w:t>
      </w:r>
      <w:r w:rsidR="000140BB">
        <w:rPr>
          <w:rFonts w:ascii="Calibri" w:hAnsi="Calibri"/>
          <w:b/>
          <w:sz w:val="22"/>
          <w:szCs w:val="22"/>
        </w:rPr>
        <w:t>9</w:t>
      </w:r>
      <w:r w:rsidRPr="00FD6799">
        <w:rPr>
          <w:rFonts w:ascii="Calibri" w:hAnsi="Calibri"/>
          <w:b/>
          <w:sz w:val="22"/>
          <w:szCs w:val="22"/>
        </w:rPr>
        <w:t>: Environmental Justice and Modernization</w:t>
      </w:r>
      <w:proofErr w:type="gramStart"/>
      <w:r w:rsidRPr="00C51888">
        <w:rPr>
          <w:rFonts w:ascii="Calibri" w:hAnsi="Calibri"/>
          <w:sz w:val="22"/>
          <w:szCs w:val="22"/>
        </w:rPr>
        <w:t xml:space="preserve">   (</w:t>
      </w:r>
      <w:proofErr w:type="gramEnd"/>
      <w:r w:rsidRPr="00C51888">
        <w:rPr>
          <w:rFonts w:ascii="Calibri" w:hAnsi="Calibri"/>
          <w:sz w:val="22"/>
          <w:szCs w:val="22"/>
        </w:rPr>
        <w:t xml:space="preserve">SEC. </w:t>
      </w:r>
      <w:r w:rsidR="00820AFC" w:rsidRPr="00820AFC">
        <w:rPr>
          <w:rFonts w:ascii="Calibri" w:hAnsi="Calibri"/>
          <w:sz w:val="22"/>
          <w:szCs w:val="22"/>
        </w:rPr>
        <w:t>7, 8, 9, 10</w:t>
      </w:r>
      <w:r w:rsidRPr="00820AFC">
        <w:rPr>
          <w:rFonts w:ascii="Calibri" w:hAnsi="Calibri"/>
          <w:sz w:val="22"/>
          <w:szCs w:val="22"/>
        </w:rPr>
        <w:t>)</w:t>
      </w:r>
      <w:r w:rsidR="00315E3B" w:rsidRPr="00820AFC">
        <w:rPr>
          <w:rFonts w:ascii="Calibri" w:hAnsi="Calibri"/>
          <w:sz w:val="22"/>
          <w:szCs w:val="22"/>
        </w:rPr>
        <w:t xml:space="preserve"> </w:t>
      </w:r>
    </w:p>
    <w:p w:rsidR="00C51888" w:rsidRPr="00C51888" w:rsidRDefault="00363B70" w:rsidP="00C51888">
      <w:pPr>
        <w:rPr>
          <w:rFonts w:ascii="Calibri" w:hAnsi="Calibri"/>
          <w:sz w:val="22"/>
          <w:szCs w:val="22"/>
        </w:rPr>
      </w:pPr>
      <w:r>
        <w:rPr>
          <w:rFonts w:ascii="Calibri" w:hAnsi="Calibri"/>
          <w:sz w:val="22"/>
          <w:szCs w:val="22"/>
        </w:rPr>
        <w:t>A</w:t>
      </w:r>
      <w:r w:rsidR="00C51888" w:rsidRPr="00C51888">
        <w:rPr>
          <w:rFonts w:ascii="Calibri" w:hAnsi="Calibri"/>
          <w:sz w:val="22"/>
          <w:szCs w:val="22"/>
        </w:rPr>
        <w:t>mendments explicitly add environmental justice considerations to the mandated considerations of the CEQA process, and remove outmoded language and inappropriate references to gender.</w:t>
      </w:r>
    </w:p>
    <w:p w:rsidR="00C51888" w:rsidRPr="00C51888" w:rsidRDefault="00C51888" w:rsidP="00C51888">
      <w:pPr>
        <w:rPr>
          <w:rFonts w:ascii="Calibri" w:hAnsi="Calibri"/>
          <w:sz w:val="22"/>
          <w:szCs w:val="22"/>
        </w:rPr>
      </w:pPr>
    </w:p>
    <w:p w:rsidR="00C51888" w:rsidRPr="00C51888" w:rsidRDefault="00C51888" w:rsidP="00C51888">
      <w:pPr>
        <w:rPr>
          <w:rFonts w:ascii="Calibri" w:hAnsi="Calibri"/>
          <w:sz w:val="22"/>
          <w:szCs w:val="22"/>
        </w:rPr>
      </w:pPr>
      <w:r w:rsidRPr="00FD6799">
        <w:rPr>
          <w:rFonts w:ascii="Calibri" w:hAnsi="Calibri"/>
          <w:b/>
          <w:sz w:val="22"/>
          <w:szCs w:val="22"/>
        </w:rPr>
        <w:t>Goal 1</w:t>
      </w:r>
      <w:r w:rsidR="000140BB">
        <w:rPr>
          <w:rFonts w:ascii="Calibri" w:hAnsi="Calibri"/>
          <w:b/>
          <w:sz w:val="22"/>
          <w:szCs w:val="22"/>
        </w:rPr>
        <w:t>0</w:t>
      </w:r>
      <w:r w:rsidRPr="00FD6799">
        <w:rPr>
          <w:rFonts w:ascii="Calibri" w:hAnsi="Calibri"/>
          <w:b/>
          <w:sz w:val="22"/>
          <w:szCs w:val="22"/>
        </w:rPr>
        <w:t>: Decluttering</w:t>
      </w:r>
      <w:r w:rsidRPr="00C51888">
        <w:rPr>
          <w:rFonts w:ascii="Calibri" w:hAnsi="Calibri"/>
          <w:sz w:val="22"/>
          <w:szCs w:val="22"/>
        </w:rPr>
        <w:t xml:space="preserve"> (SEC. 1</w:t>
      </w:r>
      <w:r w:rsidR="00820AFC">
        <w:rPr>
          <w:rFonts w:ascii="Calibri" w:hAnsi="Calibri"/>
          <w:sz w:val="22"/>
          <w:szCs w:val="22"/>
        </w:rPr>
        <w:t>1</w:t>
      </w:r>
      <w:r w:rsidRPr="00C51888">
        <w:rPr>
          <w:rFonts w:ascii="Calibri" w:hAnsi="Calibri"/>
          <w:sz w:val="22"/>
          <w:szCs w:val="22"/>
        </w:rPr>
        <w:t>, 2</w:t>
      </w:r>
      <w:r w:rsidR="00820AFC">
        <w:rPr>
          <w:rFonts w:ascii="Calibri" w:hAnsi="Calibri"/>
          <w:sz w:val="22"/>
          <w:szCs w:val="22"/>
        </w:rPr>
        <w:t>1</w:t>
      </w:r>
      <w:r w:rsidRPr="00C51888">
        <w:rPr>
          <w:rFonts w:ascii="Calibri" w:hAnsi="Calibri"/>
          <w:sz w:val="22"/>
          <w:szCs w:val="22"/>
        </w:rPr>
        <w:t>, 2</w:t>
      </w:r>
      <w:r w:rsidR="00820AFC">
        <w:rPr>
          <w:rFonts w:ascii="Calibri" w:hAnsi="Calibri"/>
          <w:sz w:val="22"/>
          <w:szCs w:val="22"/>
        </w:rPr>
        <w:t>2</w:t>
      </w:r>
      <w:r w:rsidRPr="00C51888">
        <w:rPr>
          <w:rFonts w:ascii="Calibri" w:hAnsi="Calibri"/>
          <w:sz w:val="22"/>
          <w:szCs w:val="22"/>
        </w:rPr>
        <w:t>)</w:t>
      </w:r>
    </w:p>
    <w:p w:rsidR="00C51888" w:rsidRPr="00C51888" w:rsidRDefault="00C51888" w:rsidP="00C51888">
      <w:pPr>
        <w:rPr>
          <w:rFonts w:ascii="Calibri" w:hAnsi="Calibri"/>
          <w:sz w:val="22"/>
          <w:szCs w:val="22"/>
        </w:rPr>
      </w:pPr>
      <w:r w:rsidRPr="00C51888">
        <w:rPr>
          <w:rFonts w:ascii="Calibri" w:hAnsi="Calibri"/>
          <w:sz w:val="22"/>
          <w:szCs w:val="22"/>
        </w:rPr>
        <w:t>These amendments repeal expired project approvals and other now-obsolete sections from CEQA.</w:t>
      </w:r>
    </w:p>
    <w:p w:rsidR="00530699" w:rsidRDefault="00530699" w:rsidP="00FA4435">
      <w:pPr>
        <w:rPr>
          <w:rFonts w:ascii="Calibri" w:hAnsi="Calibri" w:cs="Calibri"/>
          <w:sz w:val="22"/>
          <w:szCs w:val="22"/>
        </w:rPr>
      </w:pPr>
    </w:p>
    <w:p w:rsidR="000140BB" w:rsidRPr="007A7074" w:rsidRDefault="000140BB" w:rsidP="00FA4435">
      <w:pPr>
        <w:rPr>
          <w:rFonts w:ascii="Calibri" w:hAnsi="Calibri" w:cs="Calibri"/>
          <w:sz w:val="22"/>
          <w:szCs w:val="22"/>
        </w:rPr>
      </w:pPr>
    </w:p>
    <w:p w:rsidR="00135551" w:rsidRPr="007A7074" w:rsidRDefault="00135551" w:rsidP="00FA4435">
      <w:pPr>
        <w:pStyle w:val="Heading4"/>
        <w:jc w:val="left"/>
        <w:rPr>
          <w:rFonts w:ascii="Calibri" w:hAnsi="Calibri" w:cs="Calibri"/>
          <w:szCs w:val="24"/>
        </w:rPr>
      </w:pPr>
      <w:r w:rsidRPr="007A7074">
        <w:rPr>
          <w:rFonts w:ascii="Calibri" w:hAnsi="Calibri" w:cs="Calibri"/>
          <w:szCs w:val="24"/>
        </w:rPr>
        <w:lastRenderedPageBreak/>
        <w:t>Support</w:t>
      </w:r>
    </w:p>
    <w:p w:rsidR="00135551" w:rsidRPr="007A7074" w:rsidRDefault="00D2203F" w:rsidP="00FA4435">
      <w:pPr>
        <w:rPr>
          <w:rFonts w:ascii="Calibri" w:hAnsi="Calibri" w:cs="Calibri"/>
          <w:sz w:val="22"/>
          <w:szCs w:val="22"/>
        </w:rPr>
      </w:pPr>
      <w:r w:rsidRPr="007A7074">
        <w:rPr>
          <w:rFonts w:ascii="Calibri" w:hAnsi="Calibri" w:cs="Calibri"/>
          <w:noProof/>
          <w:szCs w:val="24"/>
        </w:rPr>
        <mc:AlternateContent>
          <mc:Choice Requires="wps">
            <w:drawing>
              <wp:anchor distT="0" distB="0" distL="114300" distR="114300" simplePos="0" relativeHeight="251659776" behindDoc="0" locked="0" layoutInCell="0" allowOverlap="1">
                <wp:simplePos x="0" y="0"/>
                <wp:positionH relativeFrom="column">
                  <wp:posOffset>9525</wp:posOffset>
                </wp:positionH>
                <wp:positionV relativeFrom="paragraph">
                  <wp:posOffset>26670</wp:posOffset>
                </wp:positionV>
                <wp:extent cx="2560320" cy="0"/>
                <wp:effectExtent l="9525" t="6350" r="1143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3C405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20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M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E+maZPO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" o:allowincell="f"/>
            </w:pict>
          </mc:Fallback>
        </mc:AlternateContent>
      </w:r>
    </w:p>
    <w:p w:rsidR="00530699" w:rsidRDefault="00363B70" w:rsidP="00FA4435">
      <w:pPr>
        <w:rPr>
          <w:rFonts w:ascii="Calibri" w:hAnsi="Calibri" w:cs="Calibri"/>
          <w:sz w:val="22"/>
          <w:szCs w:val="22"/>
        </w:rPr>
      </w:pPr>
      <w:r>
        <w:rPr>
          <w:rFonts w:ascii="Calibri" w:hAnsi="Calibri" w:cs="Calibri"/>
          <w:sz w:val="22"/>
          <w:szCs w:val="22"/>
        </w:rPr>
        <w:t>Planning and Conservation League (</w:t>
      </w:r>
      <w:r w:rsidRPr="00363B70">
        <w:rPr>
          <w:rFonts w:ascii="Calibri" w:hAnsi="Calibri" w:cs="Calibri"/>
          <w:b/>
          <w:sz w:val="22"/>
          <w:szCs w:val="22"/>
        </w:rPr>
        <w:t>sponsor</w:t>
      </w:r>
      <w:r>
        <w:rPr>
          <w:rFonts w:ascii="Calibri" w:hAnsi="Calibri" w:cs="Calibri"/>
          <w:sz w:val="22"/>
          <w:szCs w:val="22"/>
        </w:rPr>
        <w:t>)</w:t>
      </w:r>
    </w:p>
    <w:p w:rsidR="000140BB" w:rsidRDefault="000140BB" w:rsidP="00FA4435">
      <w:pPr>
        <w:rPr>
          <w:rFonts w:ascii="Calibri" w:hAnsi="Calibri" w:cs="Calibri"/>
          <w:sz w:val="22"/>
          <w:szCs w:val="22"/>
        </w:rPr>
      </w:pPr>
    </w:p>
    <w:p w:rsidR="000140BB" w:rsidRDefault="000140BB" w:rsidP="00FA4435">
      <w:pPr>
        <w:rPr>
          <w:rFonts w:ascii="Calibri" w:hAnsi="Calibri" w:cs="Calibri"/>
          <w:sz w:val="22"/>
          <w:szCs w:val="22"/>
        </w:rPr>
      </w:pPr>
    </w:p>
    <w:p w:rsidR="000140BB" w:rsidRPr="007A7074" w:rsidRDefault="000140BB" w:rsidP="00FA4435">
      <w:pPr>
        <w:rPr>
          <w:rFonts w:ascii="Calibri" w:hAnsi="Calibri" w:cs="Calibri"/>
          <w:sz w:val="22"/>
          <w:szCs w:val="22"/>
        </w:rPr>
      </w:pPr>
    </w:p>
    <w:p w:rsidR="00363B70" w:rsidRDefault="00363B70" w:rsidP="00FA4435">
      <w:pPr>
        <w:pStyle w:val="Heading4"/>
        <w:jc w:val="left"/>
        <w:rPr>
          <w:rFonts w:ascii="Calibri" w:hAnsi="Calibri" w:cs="Calibri"/>
          <w:szCs w:val="24"/>
        </w:rPr>
      </w:pPr>
    </w:p>
    <w:p w:rsidR="00D35B2B" w:rsidRPr="007A7074" w:rsidRDefault="00D35B2B" w:rsidP="00FA4435">
      <w:pPr>
        <w:pStyle w:val="Heading4"/>
        <w:jc w:val="left"/>
        <w:rPr>
          <w:rFonts w:ascii="Calibri" w:hAnsi="Calibri" w:cs="Calibri"/>
          <w:szCs w:val="24"/>
        </w:rPr>
      </w:pPr>
      <w:r w:rsidRPr="007A7074">
        <w:rPr>
          <w:rFonts w:ascii="Calibri" w:hAnsi="Calibri" w:cs="Calibri"/>
          <w:szCs w:val="24"/>
        </w:rPr>
        <w:t>Status</w:t>
      </w:r>
    </w:p>
    <w:p w:rsidR="00160A5D" w:rsidRDefault="00D2203F" w:rsidP="00FA4435">
      <w:pPr>
        <w:rPr>
          <w:rFonts w:ascii="Calibri" w:hAnsi="Calibri" w:cs="Calibri"/>
          <w:sz w:val="22"/>
          <w:szCs w:val="22"/>
        </w:rPr>
      </w:pPr>
      <w:r w:rsidRPr="00160A5D">
        <w:rPr>
          <w:rFonts w:ascii="Calibri" w:hAnsi="Calibri" w:cs="Calibri"/>
          <w:noProof/>
          <w:szCs w:val="24"/>
        </w:rPr>
        <mc:AlternateContent>
          <mc:Choice Requires="wps">
            <w:drawing>
              <wp:anchor distT="0" distB="0" distL="114300" distR="114300" simplePos="0" relativeHeight="251656704" behindDoc="0" locked="0" layoutInCell="0" allowOverlap="1">
                <wp:simplePos x="0" y="0"/>
                <wp:positionH relativeFrom="column">
                  <wp:posOffset>9525</wp:posOffset>
                </wp:positionH>
                <wp:positionV relativeFrom="paragraph">
                  <wp:posOffset>26670</wp:posOffset>
                </wp:positionV>
                <wp:extent cx="2560320" cy="0"/>
                <wp:effectExtent l="9525" t="12065"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9A1BC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20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F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2Tyd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" o:allowincell="f"/>
            </w:pict>
          </mc:Fallback>
        </mc:AlternateContent>
      </w:r>
    </w:p>
    <w:p w:rsidR="00530699" w:rsidRDefault="00363B70" w:rsidP="00FA4435">
      <w:pPr>
        <w:rPr>
          <w:rFonts w:ascii="Calibri" w:hAnsi="Calibri" w:cs="Calibri"/>
          <w:sz w:val="22"/>
          <w:szCs w:val="22"/>
        </w:rPr>
      </w:pPr>
      <w:r>
        <w:rPr>
          <w:rFonts w:ascii="Calibri" w:hAnsi="Calibri" w:cs="Calibri"/>
          <w:sz w:val="22"/>
          <w:szCs w:val="22"/>
        </w:rPr>
        <w:t xml:space="preserve">At </w:t>
      </w:r>
      <w:r w:rsidR="000140BB">
        <w:rPr>
          <w:rFonts w:ascii="Calibri" w:hAnsi="Calibri" w:cs="Calibri"/>
          <w:sz w:val="22"/>
          <w:szCs w:val="22"/>
        </w:rPr>
        <w:t>Assembly</w:t>
      </w:r>
      <w:r>
        <w:rPr>
          <w:rFonts w:ascii="Calibri" w:hAnsi="Calibri" w:cs="Calibri"/>
          <w:sz w:val="22"/>
          <w:szCs w:val="22"/>
        </w:rPr>
        <w:t xml:space="preserve"> Rules for policy committee referrals</w:t>
      </w:r>
      <w:r w:rsidR="00240DBC">
        <w:rPr>
          <w:rFonts w:ascii="Calibri" w:hAnsi="Calibri" w:cs="Calibri"/>
          <w:sz w:val="22"/>
          <w:szCs w:val="22"/>
        </w:rPr>
        <w:t xml:space="preserve">. </w:t>
      </w:r>
    </w:p>
    <w:p w:rsidR="00530699" w:rsidRPr="00160A5D" w:rsidRDefault="00530699" w:rsidP="00FA4435">
      <w:pPr>
        <w:rPr>
          <w:rFonts w:ascii="Calibri" w:hAnsi="Calibri" w:cs="Calibri"/>
          <w:sz w:val="22"/>
          <w:szCs w:val="22"/>
        </w:rPr>
      </w:pPr>
    </w:p>
    <w:p w:rsidR="00F45AB3" w:rsidRPr="007A7074" w:rsidRDefault="00F45AB3" w:rsidP="00FA4435">
      <w:pPr>
        <w:pStyle w:val="Heading4"/>
        <w:jc w:val="left"/>
        <w:rPr>
          <w:rFonts w:ascii="Calibri" w:hAnsi="Calibri" w:cs="Calibri"/>
          <w:szCs w:val="24"/>
        </w:rPr>
      </w:pPr>
      <w:r w:rsidRPr="007A7074">
        <w:rPr>
          <w:rFonts w:ascii="Calibri" w:hAnsi="Calibri" w:cs="Calibri"/>
          <w:szCs w:val="24"/>
        </w:rPr>
        <w:t>Contact</w:t>
      </w:r>
    </w:p>
    <w:p w:rsidR="00F45AB3" w:rsidRPr="007A7074" w:rsidRDefault="00D2203F" w:rsidP="00FA4435">
      <w:pPr>
        <w:rPr>
          <w:rFonts w:ascii="Calibri" w:hAnsi="Calibri" w:cs="Calibri"/>
          <w:sz w:val="22"/>
          <w:szCs w:val="22"/>
        </w:rPr>
      </w:pPr>
      <w:r w:rsidRPr="007A7074">
        <w:rPr>
          <w:rFonts w:ascii="Calibri" w:hAnsi="Calibri" w:cs="Calibri"/>
          <w:noProof/>
          <w:szCs w:val="24"/>
        </w:rPr>
        <mc:AlternateContent>
          <mc:Choice Requires="wps">
            <w:drawing>
              <wp:anchor distT="0" distB="0" distL="114300" distR="114300" simplePos="0" relativeHeight="251658752" behindDoc="0" locked="0" layoutInCell="0" allowOverlap="1">
                <wp:simplePos x="0" y="0"/>
                <wp:positionH relativeFrom="column">
                  <wp:posOffset>9525</wp:posOffset>
                </wp:positionH>
                <wp:positionV relativeFrom="paragraph">
                  <wp:posOffset>26670</wp:posOffset>
                </wp:positionV>
                <wp:extent cx="2560320" cy="0"/>
                <wp:effectExtent l="9525" t="13970" r="1143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610E1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20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I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PZ+lT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" o:allowincell="f"/>
            </w:pict>
          </mc:Fallback>
        </mc:AlternateContent>
      </w:r>
    </w:p>
    <w:p w:rsidR="00167D8A" w:rsidRPr="00E9145A" w:rsidRDefault="00363B70" w:rsidP="00FA4435">
      <w:pPr>
        <w:rPr>
          <w:rFonts w:ascii="Calibri" w:hAnsi="Calibri" w:cs="Calibri"/>
          <w:sz w:val="22"/>
          <w:szCs w:val="22"/>
        </w:rPr>
      </w:pPr>
      <w:r>
        <w:rPr>
          <w:rFonts w:ascii="Calibri" w:hAnsi="Calibri" w:cs="Calibri"/>
          <w:sz w:val="22"/>
          <w:szCs w:val="22"/>
        </w:rPr>
        <w:t>Siddharth Nag</w:t>
      </w:r>
    </w:p>
    <w:p w:rsidR="00167D8A" w:rsidRPr="00E9145A" w:rsidRDefault="00363B70" w:rsidP="00FA4435">
      <w:pPr>
        <w:rPr>
          <w:rFonts w:ascii="Calibri" w:hAnsi="Calibri" w:cs="Calibri"/>
          <w:sz w:val="22"/>
          <w:szCs w:val="22"/>
        </w:rPr>
      </w:pPr>
      <w:r>
        <w:rPr>
          <w:rFonts w:ascii="Calibri" w:hAnsi="Calibri" w:cs="Calibri"/>
          <w:sz w:val="22"/>
          <w:szCs w:val="22"/>
        </w:rPr>
        <w:t>Principal Consultant</w:t>
      </w:r>
      <w:r w:rsidR="00167D8A" w:rsidRPr="00E9145A">
        <w:rPr>
          <w:rFonts w:ascii="Calibri" w:hAnsi="Calibri" w:cs="Calibri"/>
          <w:sz w:val="22"/>
          <w:szCs w:val="22"/>
        </w:rPr>
        <w:t xml:space="preserve">, Senator Jackson </w:t>
      </w:r>
    </w:p>
    <w:p w:rsidR="00D35B2B" w:rsidRPr="00167D8A" w:rsidRDefault="00167D8A" w:rsidP="00FA4435">
      <w:pPr>
        <w:rPr>
          <w:rFonts w:ascii="Calibri" w:hAnsi="Calibri" w:cs="Calibri"/>
          <w:sz w:val="22"/>
          <w:szCs w:val="22"/>
        </w:rPr>
      </w:pPr>
      <w:r w:rsidRPr="00E9145A">
        <w:rPr>
          <w:rFonts w:ascii="Calibri" w:hAnsi="Calibri" w:cs="Calibri"/>
          <w:sz w:val="22"/>
          <w:szCs w:val="22"/>
        </w:rPr>
        <w:t xml:space="preserve">916-651-4019 </w:t>
      </w:r>
      <w:r w:rsidR="00363B70">
        <w:rPr>
          <w:rFonts w:ascii="Calibri" w:hAnsi="Calibri" w:cs="Calibri"/>
          <w:sz w:val="22"/>
          <w:szCs w:val="22"/>
        </w:rPr>
        <w:t xml:space="preserve">| </w:t>
      </w:r>
      <w:hyperlink r:id="rId11" w:history="1">
        <w:r w:rsidR="00363B70" w:rsidRPr="00A32D09">
          <w:rPr>
            <w:rStyle w:val="Hyperlink"/>
            <w:rFonts w:ascii="Calibri" w:hAnsi="Calibri" w:cs="Calibri"/>
            <w:sz w:val="22"/>
            <w:szCs w:val="22"/>
          </w:rPr>
          <w:t>siddharth.nag@sen.ca.gov</w:t>
        </w:r>
      </w:hyperlink>
    </w:p>
    <w:sectPr w:rsidR="00D35B2B" w:rsidRPr="00167D8A" w:rsidSect="004E2942">
      <w:type w:val="continuous"/>
      <w:pgSz w:w="12240" w:h="15840" w:code="1"/>
      <w:pgMar w:top="720" w:right="720" w:bottom="720" w:left="720" w:header="720" w:footer="259" w:gutter="0"/>
      <w:cols w:num="2" w:sep="1"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79" w:rsidRDefault="00FE4F79">
      <w:r>
        <w:separator/>
      </w:r>
    </w:p>
  </w:endnote>
  <w:endnote w:type="continuationSeparator" w:id="0">
    <w:p w:rsidR="00FE4F79" w:rsidRDefault="00FE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1F3" w:rsidRDefault="00D2203F" w:rsidP="009571F3">
    <w:pPr>
      <w:pStyle w:val="Footer"/>
      <w:ind w:firstLine="720"/>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simplePos x="0" y="0"/>
              <wp:positionH relativeFrom="column">
                <wp:posOffset>-810260</wp:posOffset>
              </wp:positionH>
              <wp:positionV relativeFrom="paragraph">
                <wp:posOffset>-55245</wp:posOffset>
              </wp:positionV>
              <wp:extent cx="5577840" cy="0"/>
              <wp:effectExtent l="8890"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5F62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4.35pt" to="375.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"/>
          </w:pict>
        </mc:Fallback>
      </mc:AlternateContent>
    </w:r>
    <w:r>
      <w:rPr>
        <w:rFonts w:ascii="Arial" w:hAnsi="Arial"/>
        <w:sz w:val="18"/>
      </w:rPr>
      <w:t>SB 55</w:t>
    </w:r>
    <w:r w:rsidR="009571F3">
      <w:rPr>
        <w:rFonts w:ascii="Arial" w:hAnsi="Arial"/>
        <w:sz w:val="18"/>
      </w:rPr>
      <w:t xml:space="preserve"> (Jackson) – California Environmental Quality Act -- </w:t>
    </w:r>
    <w:r w:rsidR="008C14A0">
      <w:rPr>
        <w:rFonts w:ascii="Arial" w:hAnsi="Arial"/>
        <w:noProof/>
        <w:sz w:val="18"/>
      </w:rPr>
      <w:t>July 15, 2020</w:t>
    </w:r>
  </w:p>
  <w:p w:rsidR="00625B53" w:rsidRDefault="00625B53" w:rsidP="009571F3">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79" w:rsidRDefault="00FE4F79">
      <w:r>
        <w:separator/>
      </w:r>
    </w:p>
  </w:footnote>
  <w:footnote w:type="continuationSeparator" w:id="0">
    <w:p w:rsidR="00FE4F79" w:rsidRDefault="00FE4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53" w:rsidRDefault="00FE4F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onochrome Watermark of Capitol Dome" style="position:absolute;margin-left:0;margin-top:0;width:144.25pt;height:201.35pt;z-index:-251659264;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53" w:rsidRDefault="00FE4F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Monochrome Watermark of Capitol Dome" style="position:absolute;margin-left:0;margin-top:0;width:144.25pt;height:201.35pt;z-index:-251658240;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53" w:rsidRDefault="00FE4F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Monochrome Watermark of Capitol Dome" style="position:absolute;margin-left:0;margin-top:0;width:144.25pt;height:201.35pt;z-index:-251660288;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AC1"/>
    <w:multiLevelType w:val="hybridMultilevel"/>
    <w:tmpl w:val="1008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64C48"/>
    <w:multiLevelType w:val="hybridMultilevel"/>
    <w:tmpl w:val="6A2C8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4C25BD"/>
    <w:multiLevelType w:val="hybridMultilevel"/>
    <w:tmpl w:val="5CACA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614F1E"/>
    <w:multiLevelType w:val="hybridMultilevel"/>
    <w:tmpl w:val="4ED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9"/>
    <w:rsid w:val="00010BF4"/>
    <w:rsid w:val="000140BB"/>
    <w:rsid w:val="0002349E"/>
    <w:rsid w:val="0003239F"/>
    <w:rsid w:val="00037BA5"/>
    <w:rsid w:val="0004119B"/>
    <w:rsid w:val="00041467"/>
    <w:rsid w:val="00043304"/>
    <w:rsid w:val="00045887"/>
    <w:rsid w:val="00046897"/>
    <w:rsid w:val="000633D0"/>
    <w:rsid w:val="000741B2"/>
    <w:rsid w:val="00076D95"/>
    <w:rsid w:val="00087126"/>
    <w:rsid w:val="00087262"/>
    <w:rsid w:val="00094A41"/>
    <w:rsid w:val="000A2598"/>
    <w:rsid w:val="000B0168"/>
    <w:rsid w:val="000B20AE"/>
    <w:rsid w:val="000C691C"/>
    <w:rsid w:val="000D57FD"/>
    <w:rsid w:val="000E1519"/>
    <w:rsid w:val="000E2493"/>
    <w:rsid w:val="000F6093"/>
    <w:rsid w:val="00105DD8"/>
    <w:rsid w:val="00112980"/>
    <w:rsid w:val="00116A23"/>
    <w:rsid w:val="00120E77"/>
    <w:rsid w:val="0013377D"/>
    <w:rsid w:val="00135551"/>
    <w:rsid w:val="00142CDC"/>
    <w:rsid w:val="0015248A"/>
    <w:rsid w:val="00160A5D"/>
    <w:rsid w:val="00165785"/>
    <w:rsid w:val="00166745"/>
    <w:rsid w:val="00167D8A"/>
    <w:rsid w:val="001762E7"/>
    <w:rsid w:val="00180B79"/>
    <w:rsid w:val="0018120E"/>
    <w:rsid w:val="001B3453"/>
    <w:rsid w:val="001C4414"/>
    <w:rsid w:val="001C69C9"/>
    <w:rsid w:val="001D573F"/>
    <w:rsid w:val="002152EC"/>
    <w:rsid w:val="00217919"/>
    <w:rsid w:val="00220B98"/>
    <w:rsid w:val="00220EA2"/>
    <w:rsid w:val="002211E6"/>
    <w:rsid w:val="00227F39"/>
    <w:rsid w:val="00231594"/>
    <w:rsid w:val="00240DBC"/>
    <w:rsid w:val="00253944"/>
    <w:rsid w:val="00277D37"/>
    <w:rsid w:val="002807E4"/>
    <w:rsid w:val="002A4C30"/>
    <w:rsid w:val="002B4DD0"/>
    <w:rsid w:val="002E16AB"/>
    <w:rsid w:val="002E1F0A"/>
    <w:rsid w:val="002E66E5"/>
    <w:rsid w:val="00300BAE"/>
    <w:rsid w:val="00304E7B"/>
    <w:rsid w:val="003127F8"/>
    <w:rsid w:val="00315460"/>
    <w:rsid w:val="00315E3B"/>
    <w:rsid w:val="003256DE"/>
    <w:rsid w:val="00327311"/>
    <w:rsid w:val="00337DA2"/>
    <w:rsid w:val="003419BA"/>
    <w:rsid w:val="00356CA9"/>
    <w:rsid w:val="00363B70"/>
    <w:rsid w:val="00374BB9"/>
    <w:rsid w:val="00382770"/>
    <w:rsid w:val="0039103F"/>
    <w:rsid w:val="003A2AC6"/>
    <w:rsid w:val="003A747D"/>
    <w:rsid w:val="003B17CE"/>
    <w:rsid w:val="003B3724"/>
    <w:rsid w:val="003C6E84"/>
    <w:rsid w:val="003C6F10"/>
    <w:rsid w:val="003D40A4"/>
    <w:rsid w:val="003D6080"/>
    <w:rsid w:val="003D69A9"/>
    <w:rsid w:val="004047F3"/>
    <w:rsid w:val="004207F6"/>
    <w:rsid w:val="0043609D"/>
    <w:rsid w:val="004471A0"/>
    <w:rsid w:val="00455812"/>
    <w:rsid w:val="00455AD8"/>
    <w:rsid w:val="00471AD8"/>
    <w:rsid w:val="00482358"/>
    <w:rsid w:val="00497C18"/>
    <w:rsid w:val="00497EC7"/>
    <w:rsid w:val="004E2942"/>
    <w:rsid w:val="004F163A"/>
    <w:rsid w:val="004F7032"/>
    <w:rsid w:val="00504AAA"/>
    <w:rsid w:val="00510348"/>
    <w:rsid w:val="00510F00"/>
    <w:rsid w:val="00511663"/>
    <w:rsid w:val="005262EA"/>
    <w:rsid w:val="0052730A"/>
    <w:rsid w:val="00530699"/>
    <w:rsid w:val="005353E9"/>
    <w:rsid w:val="005551AE"/>
    <w:rsid w:val="00560D74"/>
    <w:rsid w:val="005733C2"/>
    <w:rsid w:val="00594C87"/>
    <w:rsid w:val="0059632B"/>
    <w:rsid w:val="005B010C"/>
    <w:rsid w:val="005C0397"/>
    <w:rsid w:val="005C20B8"/>
    <w:rsid w:val="005D6A0D"/>
    <w:rsid w:val="005E6580"/>
    <w:rsid w:val="006061BB"/>
    <w:rsid w:val="006202B7"/>
    <w:rsid w:val="00625B53"/>
    <w:rsid w:val="0064196D"/>
    <w:rsid w:val="0064369B"/>
    <w:rsid w:val="00657A1F"/>
    <w:rsid w:val="00672F6A"/>
    <w:rsid w:val="00674D29"/>
    <w:rsid w:val="00686C35"/>
    <w:rsid w:val="006B1108"/>
    <w:rsid w:val="006D13B3"/>
    <w:rsid w:val="006E5BAE"/>
    <w:rsid w:val="006F0766"/>
    <w:rsid w:val="006F1F40"/>
    <w:rsid w:val="00721545"/>
    <w:rsid w:val="00733EC2"/>
    <w:rsid w:val="00743CBA"/>
    <w:rsid w:val="00756FA3"/>
    <w:rsid w:val="00790FC6"/>
    <w:rsid w:val="007A135F"/>
    <w:rsid w:val="007A7074"/>
    <w:rsid w:val="007A7D3F"/>
    <w:rsid w:val="007C1699"/>
    <w:rsid w:val="007F01F9"/>
    <w:rsid w:val="00801A2E"/>
    <w:rsid w:val="00803E45"/>
    <w:rsid w:val="00811668"/>
    <w:rsid w:val="00820AFC"/>
    <w:rsid w:val="00830F56"/>
    <w:rsid w:val="0083237C"/>
    <w:rsid w:val="00834793"/>
    <w:rsid w:val="0086006F"/>
    <w:rsid w:val="00860636"/>
    <w:rsid w:val="00864F06"/>
    <w:rsid w:val="00894119"/>
    <w:rsid w:val="008C095F"/>
    <w:rsid w:val="008C14A0"/>
    <w:rsid w:val="008D2538"/>
    <w:rsid w:val="008E6DA5"/>
    <w:rsid w:val="00907635"/>
    <w:rsid w:val="00914D22"/>
    <w:rsid w:val="00917572"/>
    <w:rsid w:val="009434BC"/>
    <w:rsid w:val="009571F3"/>
    <w:rsid w:val="009730BF"/>
    <w:rsid w:val="0097416F"/>
    <w:rsid w:val="00980B91"/>
    <w:rsid w:val="009821A0"/>
    <w:rsid w:val="009A2BE4"/>
    <w:rsid w:val="009A65B8"/>
    <w:rsid w:val="009D13F5"/>
    <w:rsid w:val="009D5F01"/>
    <w:rsid w:val="009F5888"/>
    <w:rsid w:val="009F6CCD"/>
    <w:rsid w:val="00A0302D"/>
    <w:rsid w:val="00A03E92"/>
    <w:rsid w:val="00A16BC2"/>
    <w:rsid w:val="00A2274A"/>
    <w:rsid w:val="00A22A9D"/>
    <w:rsid w:val="00A24258"/>
    <w:rsid w:val="00A40002"/>
    <w:rsid w:val="00A57347"/>
    <w:rsid w:val="00A62B60"/>
    <w:rsid w:val="00A658DE"/>
    <w:rsid w:val="00A660C9"/>
    <w:rsid w:val="00A71999"/>
    <w:rsid w:val="00A75806"/>
    <w:rsid w:val="00A807CB"/>
    <w:rsid w:val="00A8468E"/>
    <w:rsid w:val="00A90944"/>
    <w:rsid w:val="00A91AE1"/>
    <w:rsid w:val="00AA32B2"/>
    <w:rsid w:val="00AA34EC"/>
    <w:rsid w:val="00AA4594"/>
    <w:rsid w:val="00AA53B5"/>
    <w:rsid w:val="00AB2833"/>
    <w:rsid w:val="00AB68FA"/>
    <w:rsid w:val="00AC0ABF"/>
    <w:rsid w:val="00AD1E8B"/>
    <w:rsid w:val="00AD5FF4"/>
    <w:rsid w:val="00AF33F8"/>
    <w:rsid w:val="00B10A69"/>
    <w:rsid w:val="00B17CCD"/>
    <w:rsid w:val="00B233E9"/>
    <w:rsid w:val="00B31578"/>
    <w:rsid w:val="00B36DCA"/>
    <w:rsid w:val="00B37B4D"/>
    <w:rsid w:val="00B55048"/>
    <w:rsid w:val="00B70A80"/>
    <w:rsid w:val="00B70C38"/>
    <w:rsid w:val="00B73488"/>
    <w:rsid w:val="00B75CFA"/>
    <w:rsid w:val="00B90260"/>
    <w:rsid w:val="00B917D0"/>
    <w:rsid w:val="00B92BC8"/>
    <w:rsid w:val="00BA29CB"/>
    <w:rsid w:val="00BA29F3"/>
    <w:rsid w:val="00BA2E8E"/>
    <w:rsid w:val="00BC1F4C"/>
    <w:rsid w:val="00BD5356"/>
    <w:rsid w:val="00BF3BDA"/>
    <w:rsid w:val="00BF7B85"/>
    <w:rsid w:val="00C00814"/>
    <w:rsid w:val="00C07AB8"/>
    <w:rsid w:val="00C3299D"/>
    <w:rsid w:val="00C35AF7"/>
    <w:rsid w:val="00C51888"/>
    <w:rsid w:val="00C56C9E"/>
    <w:rsid w:val="00C56E1B"/>
    <w:rsid w:val="00C6159A"/>
    <w:rsid w:val="00C62F3D"/>
    <w:rsid w:val="00C71B5A"/>
    <w:rsid w:val="00C85176"/>
    <w:rsid w:val="00C9205F"/>
    <w:rsid w:val="00C96641"/>
    <w:rsid w:val="00CA28DB"/>
    <w:rsid w:val="00CB706B"/>
    <w:rsid w:val="00CB7105"/>
    <w:rsid w:val="00CC3DC7"/>
    <w:rsid w:val="00CD6B78"/>
    <w:rsid w:val="00CF096C"/>
    <w:rsid w:val="00CF5E16"/>
    <w:rsid w:val="00D067B6"/>
    <w:rsid w:val="00D2203F"/>
    <w:rsid w:val="00D27044"/>
    <w:rsid w:val="00D31CA9"/>
    <w:rsid w:val="00D35B2B"/>
    <w:rsid w:val="00D3711D"/>
    <w:rsid w:val="00D51F26"/>
    <w:rsid w:val="00D53877"/>
    <w:rsid w:val="00D545DF"/>
    <w:rsid w:val="00D60E45"/>
    <w:rsid w:val="00DB1706"/>
    <w:rsid w:val="00DB5DAE"/>
    <w:rsid w:val="00DC489C"/>
    <w:rsid w:val="00DD48A2"/>
    <w:rsid w:val="00DF52FD"/>
    <w:rsid w:val="00E004ED"/>
    <w:rsid w:val="00E15F1E"/>
    <w:rsid w:val="00E162EF"/>
    <w:rsid w:val="00E34B5E"/>
    <w:rsid w:val="00E604A7"/>
    <w:rsid w:val="00E83362"/>
    <w:rsid w:val="00E9034D"/>
    <w:rsid w:val="00E92537"/>
    <w:rsid w:val="00EA0970"/>
    <w:rsid w:val="00EB3559"/>
    <w:rsid w:val="00EE6FA3"/>
    <w:rsid w:val="00F02C8B"/>
    <w:rsid w:val="00F17F84"/>
    <w:rsid w:val="00F326A3"/>
    <w:rsid w:val="00F40101"/>
    <w:rsid w:val="00F45AB3"/>
    <w:rsid w:val="00F536A6"/>
    <w:rsid w:val="00F5754F"/>
    <w:rsid w:val="00F75D9E"/>
    <w:rsid w:val="00F841CA"/>
    <w:rsid w:val="00F91BA5"/>
    <w:rsid w:val="00F923D7"/>
    <w:rsid w:val="00F97279"/>
    <w:rsid w:val="00FA4435"/>
    <w:rsid w:val="00FA65A2"/>
    <w:rsid w:val="00FA6881"/>
    <w:rsid w:val="00FD21D4"/>
    <w:rsid w:val="00FD6799"/>
    <w:rsid w:val="00FE43B8"/>
    <w:rsid w:val="00FE4F79"/>
    <w:rsid w:val="00FE6A1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1B09F47-561F-4FAD-8399-19458A82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2B"/>
  </w:style>
  <w:style w:type="paragraph" w:styleId="Heading1">
    <w:name w:val="heading 1"/>
    <w:basedOn w:val="Normal"/>
    <w:next w:val="Normal"/>
    <w:qFormat/>
    <w:rsid w:val="00D35B2B"/>
    <w:pPr>
      <w:keepNext/>
      <w:outlineLvl w:val="0"/>
    </w:pPr>
    <w:rPr>
      <w:rFonts w:ascii="Arial" w:hAnsi="Arial"/>
      <w:b/>
      <w:sz w:val="32"/>
    </w:rPr>
  </w:style>
  <w:style w:type="paragraph" w:styleId="Heading2">
    <w:name w:val="heading 2"/>
    <w:basedOn w:val="Normal"/>
    <w:next w:val="Normal"/>
    <w:qFormat/>
    <w:rsid w:val="00D35B2B"/>
    <w:pPr>
      <w:keepNext/>
      <w:outlineLvl w:val="1"/>
    </w:pPr>
    <w:rPr>
      <w:rFonts w:ascii="Arial" w:hAnsi="Arial"/>
      <w:smallCaps/>
      <w:sz w:val="32"/>
    </w:rPr>
  </w:style>
  <w:style w:type="paragraph" w:styleId="Heading4">
    <w:name w:val="heading 4"/>
    <w:basedOn w:val="Normal"/>
    <w:next w:val="Normal"/>
    <w:qFormat/>
    <w:rsid w:val="00D35B2B"/>
    <w:pPr>
      <w:keepNext/>
      <w:jc w:val="center"/>
      <w:outlineLvl w:val="3"/>
    </w:pPr>
    <w:rPr>
      <w:rFonts w:ascii="Arial" w:hAnsi="Arial"/>
      <w:b/>
      <w:small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5B2B"/>
    <w:pPr>
      <w:tabs>
        <w:tab w:val="center" w:pos="4320"/>
        <w:tab w:val="right" w:pos="8640"/>
      </w:tabs>
    </w:pPr>
  </w:style>
  <w:style w:type="paragraph" w:styleId="Footer">
    <w:name w:val="footer"/>
    <w:basedOn w:val="Normal"/>
    <w:rsid w:val="00D35B2B"/>
    <w:pPr>
      <w:tabs>
        <w:tab w:val="center" w:pos="4320"/>
        <w:tab w:val="right" w:pos="8640"/>
      </w:tabs>
    </w:pPr>
  </w:style>
  <w:style w:type="paragraph" w:styleId="BodyText2">
    <w:name w:val="Body Text 2"/>
    <w:basedOn w:val="Normal"/>
    <w:rsid w:val="00D35B2B"/>
    <w:pPr>
      <w:jc w:val="both"/>
    </w:pPr>
    <w:rPr>
      <w:rFonts w:ascii="Arial" w:hAnsi="Arial"/>
    </w:rPr>
  </w:style>
  <w:style w:type="paragraph" w:styleId="BalloonText">
    <w:name w:val="Balloon Text"/>
    <w:basedOn w:val="Normal"/>
    <w:semiHidden/>
    <w:rsid w:val="00B55048"/>
    <w:rPr>
      <w:rFonts w:ascii="Tahoma" w:hAnsi="Tahoma" w:cs="Tahoma"/>
      <w:sz w:val="16"/>
      <w:szCs w:val="16"/>
    </w:rPr>
  </w:style>
  <w:style w:type="paragraph" w:styleId="HTMLPreformatted">
    <w:name w:val="HTML Preformatted"/>
    <w:basedOn w:val="Normal"/>
    <w:rsid w:val="00B5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510348"/>
    <w:pPr>
      <w:ind w:left="720"/>
    </w:pPr>
    <w:rPr>
      <w:rFonts w:ascii="Times" w:eastAsia="Times" w:hAnsi="Times"/>
      <w:sz w:val="24"/>
    </w:rPr>
  </w:style>
  <w:style w:type="character" w:styleId="Hyperlink">
    <w:name w:val="Hyperlink"/>
    <w:uiPriority w:val="99"/>
    <w:unhideWhenUsed/>
    <w:rsid w:val="00167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7596">
      <w:bodyDiv w:val="1"/>
      <w:marLeft w:val="0"/>
      <w:marRight w:val="0"/>
      <w:marTop w:val="0"/>
      <w:marBottom w:val="0"/>
      <w:divBdr>
        <w:top w:val="none" w:sz="0" w:space="0" w:color="auto"/>
        <w:left w:val="none" w:sz="0" w:space="0" w:color="auto"/>
        <w:bottom w:val="none" w:sz="0" w:space="0" w:color="auto"/>
        <w:right w:val="none" w:sz="0" w:space="0" w:color="auto"/>
      </w:divBdr>
    </w:div>
    <w:div w:id="8372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LCB</Company>
  <LinksUpToDate>false</LinksUpToDate>
  <CharactersWithSpaces>6215</CharactersWithSpaces>
  <SharedDoc>false</SharedDoc>
  <HLinks>
    <vt:vector size="6" baseType="variant">
      <vt:variant>
        <vt:i4>3211280</vt:i4>
      </vt:variant>
      <vt:variant>
        <vt:i4>0</vt:i4>
      </vt:variant>
      <vt:variant>
        <vt:i4>0</vt:i4>
      </vt:variant>
      <vt:variant>
        <vt:i4>5</vt:i4>
      </vt:variant>
      <vt:variant>
        <vt:lpwstr>mailto:siddharth.nag@sen.ca.gov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Sean</dc:creator>
  <cp:keywords/>
  <cp:lastModifiedBy>Sofia Rafikova</cp:lastModifiedBy>
  <cp:revision>2</cp:revision>
  <cp:lastPrinted>2020-07-09T18:27:00Z</cp:lastPrinted>
  <dcterms:created xsi:type="dcterms:W3CDTF">2020-07-16T17:43:00Z</dcterms:created>
  <dcterms:modified xsi:type="dcterms:W3CDTF">2020-07-16T17:43:00Z</dcterms:modified>
</cp:coreProperties>
</file>