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032442" w14:textId="3B20D0DE" w:rsidR="000D0646" w:rsidRPr="006F7737" w:rsidRDefault="00B35798" w:rsidP="00B35798">
      <w:pPr>
        <w:pBdr>
          <w:bottom w:val="single" w:sz="4" w:space="1" w:color="auto"/>
        </w:pBdr>
        <w:rPr>
          <w:rFonts w:cstheme="minorHAnsi"/>
          <w:b/>
          <w:sz w:val="28"/>
          <w:szCs w:val="28"/>
        </w:rPr>
      </w:pPr>
      <w:r>
        <w:rPr>
          <w:rFonts w:cstheme="minorHAnsi"/>
          <w:b/>
          <w:noProof/>
          <w:sz w:val="28"/>
          <w:szCs w:val="28"/>
        </w:rPr>
        <mc:AlternateContent>
          <mc:Choice Requires="wps">
            <w:drawing>
              <wp:anchor distT="0" distB="0" distL="114300" distR="114300" simplePos="0" relativeHeight="251659264" behindDoc="0" locked="0" layoutInCell="1" allowOverlap="1" wp14:anchorId="60FA0EF2" wp14:editId="741C4ECD">
                <wp:simplePos x="0" y="0"/>
                <wp:positionH relativeFrom="column">
                  <wp:posOffset>4409440</wp:posOffset>
                </wp:positionH>
                <wp:positionV relativeFrom="paragraph">
                  <wp:posOffset>-386080</wp:posOffset>
                </wp:positionV>
                <wp:extent cx="1534160" cy="558800"/>
                <wp:effectExtent l="0" t="0" r="2540" b="0"/>
                <wp:wrapNone/>
                <wp:docPr id="1" name="Text Box 1"/>
                <wp:cNvGraphicFramePr/>
                <a:graphic xmlns:a="http://schemas.openxmlformats.org/drawingml/2006/main">
                  <a:graphicData uri="http://schemas.microsoft.com/office/word/2010/wordprocessingShape">
                    <wps:wsp>
                      <wps:cNvSpPr txBox="1"/>
                      <wps:spPr>
                        <a:xfrm>
                          <a:off x="0" y="0"/>
                          <a:ext cx="1534160" cy="558800"/>
                        </a:xfrm>
                        <a:prstGeom prst="rect">
                          <a:avLst/>
                        </a:prstGeom>
                        <a:solidFill>
                          <a:schemeClr val="lt1"/>
                        </a:solidFill>
                        <a:ln w="6350">
                          <a:noFill/>
                        </a:ln>
                      </wps:spPr>
                      <wps:txbx>
                        <w:txbxContent>
                          <w:p w14:paraId="77A8D5CB" w14:textId="77777777" w:rsidR="00B35798" w:rsidRDefault="00B35798">
                            <w:r>
                              <w:rPr>
                                <w:noProof/>
                              </w:rPr>
                              <w:drawing>
                                <wp:inline distT="0" distB="0" distL="0" distR="0" wp14:anchorId="54B1E22E" wp14:editId="473ED2DB">
                                  <wp:extent cx="1340485" cy="46101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L logo.jpg"/>
                                          <pic:cNvPicPr/>
                                        </pic:nvPicPr>
                                        <pic:blipFill>
                                          <a:blip r:embed="rId7">
                                            <a:extLst>
                                              <a:ext uri="{28A0092B-C50C-407E-A947-70E740481C1C}">
                                                <a14:useLocalDpi xmlns:a14="http://schemas.microsoft.com/office/drawing/2010/main" val="0"/>
                                              </a:ext>
                                            </a:extLst>
                                          </a:blip>
                                          <a:stretch>
                                            <a:fillRect/>
                                          </a:stretch>
                                        </pic:blipFill>
                                        <pic:spPr>
                                          <a:xfrm>
                                            <a:off x="0" y="0"/>
                                            <a:ext cx="1340485" cy="4610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0FA0EF2" id="_x0000_t202" coordsize="21600,21600" o:spt="202" path="m,l,21600r21600,l21600,xe">
                <v:stroke joinstyle="miter"/>
                <v:path gradientshapeok="t" o:connecttype="rect"/>
              </v:shapetype>
              <v:shape id="Text Box 1" o:spid="_x0000_s1026" type="#_x0000_t202" style="position:absolute;margin-left:347.2pt;margin-top:-30.4pt;width:120.8pt;height:44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" fillcolor="white [3201]" stroked="f" strokeweight=".5pt">
                <v:textbox>
                  <w:txbxContent>
                    <w:p w14:paraId="77A8D5CB" w14:textId="77777777" w:rsidR="00B35798" w:rsidRDefault="00B35798">
                      <w:r>
                        <w:rPr>
                          <w:noProof/>
                        </w:rPr>
                        <w:drawing>
                          <wp:inline distT="0" distB="0" distL="0" distR="0" wp14:anchorId="54B1E22E" wp14:editId="473ED2DB">
                            <wp:extent cx="1340485" cy="46101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CL logo.jpg"/>
                                    <pic:cNvPicPr/>
                                  </pic:nvPicPr>
                                  <pic:blipFill>
                                    <a:blip r:embed="rId8">
                                      <a:extLst>
                                        <a:ext uri="{28A0092B-C50C-407E-A947-70E740481C1C}">
                                          <a14:useLocalDpi xmlns:a14="http://schemas.microsoft.com/office/drawing/2010/main" val="0"/>
                                        </a:ext>
                                      </a:extLst>
                                    </a:blip>
                                    <a:stretch>
                                      <a:fillRect/>
                                    </a:stretch>
                                  </pic:blipFill>
                                  <pic:spPr>
                                    <a:xfrm>
                                      <a:off x="0" y="0"/>
                                      <a:ext cx="1340485" cy="461010"/>
                                    </a:xfrm>
                                    <a:prstGeom prst="rect">
                                      <a:avLst/>
                                    </a:prstGeom>
                                  </pic:spPr>
                                </pic:pic>
                              </a:graphicData>
                            </a:graphic>
                          </wp:inline>
                        </w:drawing>
                      </w:r>
                    </w:p>
                  </w:txbxContent>
                </v:textbox>
              </v:shape>
            </w:pict>
          </mc:Fallback>
        </mc:AlternateContent>
      </w:r>
      <w:r w:rsidR="00CD58EE">
        <w:rPr>
          <w:rFonts w:cstheme="minorHAnsi"/>
          <w:b/>
          <w:sz w:val="28"/>
          <w:szCs w:val="28"/>
        </w:rPr>
        <w:t xml:space="preserve">SB </w:t>
      </w:r>
      <w:r w:rsidR="00E05175">
        <w:rPr>
          <w:rFonts w:cstheme="minorHAnsi"/>
          <w:b/>
          <w:sz w:val="28"/>
          <w:szCs w:val="28"/>
        </w:rPr>
        <w:t>55</w:t>
      </w:r>
      <w:r w:rsidR="00CD138D">
        <w:rPr>
          <w:rFonts w:cstheme="minorHAnsi"/>
          <w:b/>
          <w:sz w:val="28"/>
          <w:szCs w:val="28"/>
        </w:rPr>
        <w:t xml:space="preserve"> (Jackson)</w:t>
      </w:r>
      <w:r w:rsidR="00CD58EE">
        <w:rPr>
          <w:rFonts w:cstheme="minorHAnsi"/>
          <w:b/>
          <w:sz w:val="28"/>
          <w:szCs w:val="28"/>
        </w:rPr>
        <w:t>: “</w:t>
      </w:r>
      <w:r w:rsidR="005F06A8" w:rsidRPr="006F7737">
        <w:rPr>
          <w:rFonts w:cstheme="minorHAnsi"/>
          <w:b/>
          <w:sz w:val="28"/>
          <w:szCs w:val="28"/>
        </w:rPr>
        <w:t>CEQA 2.0</w:t>
      </w:r>
      <w:r w:rsidR="00CD58EE">
        <w:rPr>
          <w:rFonts w:cstheme="minorHAnsi"/>
          <w:b/>
          <w:sz w:val="28"/>
          <w:szCs w:val="28"/>
        </w:rPr>
        <w:t>”</w:t>
      </w:r>
      <w:r w:rsidR="005F06A8" w:rsidRPr="006F7737">
        <w:rPr>
          <w:rFonts w:cstheme="minorHAnsi"/>
          <w:b/>
          <w:sz w:val="28"/>
          <w:szCs w:val="28"/>
        </w:rPr>
        <w:t xml:space="preserve"> </w:t>
      </w:r>
      <w:r w:rsidR="00402C6E" w:rsidRPr="006F7737">
        <w:rPr>
          <w:rFonts w:cstheme="minorHAnsi"/>
          <w:b/>
          <w:sz w:val="28"/>
          <w:szCs w:val="28"/>
        </w:rPr>
        <w:t>S</w:t>
      </w:r>
      <w:r w:rsidR="005F06A8" w:rsidRPr="006F7737">
        <w:rPr>
          <w:rFonts w:cstheme="minorHAnsi"/>
          <w:b/>
          <w:sz w:val="28"/>
          <w:szCs w:val="28"/>
        </w:rPr>
        <w:t>ummar</w:t>
      </w:r>
      <w:r>
        <w:rPr>
          <w:rFonts w:cstheme="minorHAnsi"/>
          <w:b/>
          <w:sz w:val="28"/>
          <w:szCs w:val="28"/>
        </w:rPr>
        <w:t xml:space="preserve">y </w:t>
      </w:r>
    </w:p>
    <w:p w14:paraId="6773F180" w14:textId="77777777" w:rsidR="00CA4178" w:rsidRDefault="00CA4178" w:rsidP="00BE2F9B">
      <w:pPr>
        <w:rPr>
          <w:rFonts w:cstheme="minorHAnsi"/>
          <w:sz w:val="22"/>
          <w:szCs w:val="22"/>
        </w:rPr>
      </w:pPr>
    </w:p>
    <w:p w14:paraId="6604B1BC" w14:textId="4015EE78" w:rsidR="00707CAB" w:rsidRPr="00707CAB" w:rsidRDefault="00D2456D" w:rsidP="00707CAB">
      <w:pPr>
        <w:ind w:right="576"/>
        <w:rPr>
          <w:rFonts w:cstheme="minorHAnsi"/>
          <w:sz w:val="22"/>
          <w:szCs w:val="22"/>
        </w:rPr>
      </w:pPr>
      <w:r>
        <w:rPr>
          <w:rFonts w:cstheme="minorHAnsi"/>
          <w:sz w:val="22"/>
          <w:szCs w:val="22"/>
        </w:rPr>
        <w:t>F</w:t>
      </w:r>
      <w:r w:rsidR="00707CAB" w:rsidRPr="00707CAB">
        <w:rPr>
          <w:rFonts w:cstheme="minorHAnsi"/>
          <w:sz w:val="22"/>
          <w:szCs w:val="22"/>
        </w:rPr>
        <w:t>or the last 50 years</w:t>
      </w:r>
      <w:r>
        <w:rPr>
          <w:rFonts w:cstheme="minorHAnsi"/>
          <w:sz w:val="22"/>
          <w:szCs w:val="22"/>
        </w:rPr>
        <w:t xml:space="preserve">, </w:t>
      </w:r>
      <w:r w:rsidR="00547E91">
        <w:rPr>
          <w:rFonts w:cstheme="minorHAnsi"/>
          <w:sz w:val="22"/>
          <w:szCs w:val="22"/>
        </w:rPr>
        <w:t xml:space="preserve">the </w:t>
      </w:r>
      <w:r w:rsidR="00547E91" w:rsidRPr="00707CAB">
        <w:rPr>
          <w:rFonts w:cstheme="minorHAnsi"/>
          <w:sz w:val="22"/>
          <w:szCs w:val="22"/>
        </w:rPr>
        <w:t xml:space="preserve">California Environmental Quality Act </w:t>
      </w:r>
      <w:r w:rsidR="00547E91">
        <w:rPr>
          <w:rFonts w:cstheme="minorHAnsi"/>
          <w:sz w:val="22"/>
          <w:szCs w:val="22"/>
        </w:rPr>
        <w:t>(</w:t>
      </w:r>
      <w:r w:rsidRPr="00707CAB">
        <w:rPr>
          <w:rFonts w:cstheme="minorHAnsi"/>
          <w:sz w:val="22"/>
          <w:szCs w:val="22"/>
        </w:rPr>
        <w:t>CEQA</w:t>
      </w:r>
      <w:r w:rsidR="00547E91">
        <w:rPr>
          <w:rFonts w:cstheme="minorHAnsi"/>
          <w:sz w:val="22"/>
          <w:szCs w:val="22"/>
        </w:rPr>
        <w:t>)</w:t>
      </w:r>
      <w:r w:rsidRPr="00707CAB">
        <w:rPr>
          <w:rFonts w:cstheme="minorHAnsi"/>
          <w:sz w:val="22"/>
          <w:szCs w:val="22"/>
        </w:rPr>
        <w:t xml:space="preserve"> has been</w:t>
      </w:r>
      <w:r w:rsidR="00707CAB" w:rsidRPr="00707CAB">
        <w:rPr>
          <w:rFonts w:cstheme="minorHAnsi"/>
          <w:sz w:val="22"/>
          <w:szCs w:val="22"/>
        </w:rPr>
        <w:t xml:space="preserve"> the primary </w:t>
      </w:r>
      <w:r>
        <w:rPr>
          <w:rFonts w:cstheme="minorHAnsi"/>
          <w:sz w:val="22"/>
          <w:szCs w:val="22"/>
        </w:rPr>
        <w:t xml:space="preserve">California </w:t>
      </w:r>
      <w:r w:rsidR="00707CAB" w:rsidRPr="00707CAB">
        <w:rPr>
          <w:rFonts w:cstheme="minorHAnsi"/>
          <w:sz w:val="22"/>
          <w:szCs w:val="22"/>
        </w:rPr>
        <w:t xml:space="preserve">law for protecting the environment and community involvement in project </w:t>
      </w:r>
      <w:r w:rsidR="00CD58EE">
        <w:rPr>
          <w:rFonts w:cstheme="minorHAnsi"/>
          <w:sz w:val="22"/>
          <w:szCs w:val="22"/>
        </w:rPr>
        <w:t xml:space="preserve">planning and </w:t>
      </w:r>
      <w:r w:rsidR="00707CAB" w:rsidRPr="00707CAB">
        <w:rPr>
          <w:rFonts w:cstheme="minorHAnsi"/>
          <w:sz w:val="22"/>
          <w:szCs w:val="22"/>
        </w:rPr>
        <w:t xml:space="preserve">approvals.  In recent years there has been an ever-growing narrative that CEQA is a primary inhibitor of housing production and quality development in California. While PCL finds this assertion to be fundamentally untrue, PCL does find that there are updates to CEQA that can assist in making this valuable statute more efficient, effective and predictable. The public process that CEQA provides is critical to ensuring that development in California is both sustainable and equitable, but it can be improved. This </w:t>
      </w:r>
      <w:r w:rsidR="00CD58EE">
        <w:rPr>
          <w:rFonts w:cstheme="minorHAnsi"/>
          <w:sz w:val="22"/>
          <w:szCs w:val="22"/>
        </w:rPr>
        <w:t>broad</w:t>
      </w:r>
      <w:r w:rsidR="00707CAB" w:rsidRPr="00707CAB">
        <w:rPr>
          <w:rFonts w:cstheme="minorHAnsi"/>
          <w:sz w:val="22"/>
          <w:szCs w:val="22"/>
        </w:rPr>
        <w:t xml:space="preserve"> package of 21</w:t>
      </w:r>
      <w:r w:rsidR="00707CAB" w:rsidRPr="00707CAB">
        <w:rPr>
          <w:rFonts w:cstheme="minorHAnsi"/>
          <w:sz w:val="22"/>
          <w:szCs w:val="22"/>
          <w:vertAlign w:val="superscript"/>
        </w:rPr>
        <w:t>st</w:t>
      </w:r>
      <w:r w:rsidR="007E49E6">
        <w:rPr>
          <w:rFonts w:cstheme="minorHAnsi"/>
          <w:sz w:val="22"/>
          <w:szCs w:val="22"/>
        </w:rPr>
        <w:t>-</w:t>
      </w:r>
      <w:r w:rsidR="00707CAB" w:rsidRPr="00707CAB">
        <w:rPr>
          <w:rFonts w:cstheme="minorHAnsi"/>
          <w:sz w:val="22"/>
          <w:szCs w:val="22"/>
        </w:rPr>
        <w:t>century updates to the CEQA process, developed by cross-interest practitioners, aims to make CEQA significantly more efficient as well as more protective.</w:t>
      </w:r>
    </w:p>
    <w:p w14:paraId="5D236B43" w14:textId="77777777" w:rsidR="00707CAB" w:rsidRPr="00707CAB" w:rsidRDefault="00707CAB" w:rsidP="00707CAB">
      <w:pPr>
        <w:ind w:right="576"/>
        <w:rPr>
          <w:rFonts w:cstheme="minorHAnsi"/>
          <w:sz w:val="22"/>
          <w:szCs w:val="22"/>
        </w:rPr>
      </w:pPr>
    </w:p>
    <w:p w14:paraId="32D6CDBF" w14:textId="4497CDDE" w:rsidR="00707CAB" w:rsidRPr="00707CAB" w:rsidRDefault="00707CAB" w:rsidP="00707CAB">
      <w:pPr>
        <w:ind w:right="576"/>
        <w:rPr>
          <w:rFonts w:cstheme="minorHAnsi"/>
          <w:sz w:val="22"/>
          <w:szCs w:val="22"/>
        </w:rPr>
      </w:pPr>
      <w:r w:rsidRPr="00707CAB">
        <w:rPr>
          <w:rFonts w:cstheme="minorHAnsi"/>
          <w:sz w:val="22"/>
          <w:szCs w:val="22"/>
        </w:rPr>
        <w:t xml:space="preserve">Many other areas of potential improvement identified, but not yet resolved, have not been included in this package of updates, but </w:t>
      </w:r>
      <w:r w:rsidR="00CD58EE">
        <w:rPr>
          <w:rFonts w:cstheme="minorHAnsi"/>
          <w:sz w:val="22"/>
          <w:szCs w:val="22"/>
        </w:rPr>
        <w:t>will</w:t>
      </w:r>
      <w:r w:rsidRPr="00707CAB">
        <w:rPr>
          <w:rFonts w:cstheme="minorHAnsi"/>
          <w:sz w:val="22"/>
          <w:szCs w:val="22"/>
        </w:rPr>
        <w:t xml:space="preserve"> be pursued in ensuing updates.</w:t>
      </w:r>
    </w:p>
    <w:p w14:paraId="759FDB25" w14:textId="77777777" w:rsidR="00051D14" w:rsidRDefault="00051D14" w:rsidP="00BE2F9B">
      <w:pPr>
        <w:rPr>
          <w:rFonts w:cstheme="minorHAnsi"/>
          <w:sz w:val="22"/>
          <w:szCs w:val="22"/>
        </w:rPr>
      </w:pPr>
    </w:p>
    <w:p w14:paraId="10A71494" w14:textId="4669D0F1" w:rsidR="00402C6E" w:rsidRPr="00E01AB2" w:rsidRDefault="00797BB2" w:rsidP="00402C6E">
      <w:pPr>
        <w:rPr>
          <w:rFonts w:cstheme="minorHAnsi"/>
          <w:b/>
          <w:sz w:val="22"/>
          <w:szCs w:val="22"/>
          <w:u w:val="single"/>
        </w:rPr>
      </w:pPr>
      <w:r>
        <w:rPr>
          <w:rFonts w:cstheme="minorHAnsi"/>
          <w:b/>
          <w:sz w:val="22"/>
          <w:szCs w:val="22"/>
          <w:u w:val="single"/>
        </w:rPr>
        <w:t>Goal</w:t>
      </w:r>
      <w:r w:rsidR="005F06A8" w:rsidRPr="00402C6E">
        <w:rPr>
          <w:rFonts w:cstheme="minorHAnsi"/>
          <w:b/>
          <w:sz w:val="22"/>
          <w:szCs w:val="22"/>
          <w:u w:val="single"/>
        </w:rPr>
        <w:t xml:space="preserve"> 1</w:t>
      </w:r>
      <w:r w:rsidR="00BE2F9B" w:rsidRPr="00402C6E">
        <w:rPr>
          <w:rFonts w:cstheme="minorHAnsi"/>
          <w:b/>
          <w:sz w:val="22"/>
          <w:szCs w:val="22"/>
          <w:u w:val="single"/>
        </w:rPr>
        <w:t>: Record Streamlining</w:t>
      </w:r>
      <w:r w:rsidR="007E49E6">
        <w:rPr>
          <w:rFonts w:cstheme="minorHAnsi"/>
          <w:b/>
          <w:sz w:val="22"/>
          <w:szCs w:val="22"/>
          <w:u w:val="single"/>
        </w:rPr>
        <w:t xml:space="preserve"> </w:t>
      </w:r>
      <w:r>
        <w:rPr>
          <w:rFonts w:cstheme="minorHAnsi"/>
          <w:b/>
          <w:sz w:val="22"/>
          <w:szCs w:val="22"/>
          <w:u w:val="single"/>
        </w:rPr>
        <w:t>(SEC.</w:t>
      </w:r>
      <w:r w:rsidR="00CC2846">
        <w:rPr>
          <w:rFonts w:cstheme="minorHAnsi"/>
          <w:b/>
          <w:sz w:val="22"/>
          <w:szCs w:val="22"/>
          <w:u w:val="single"/>
        </w:rPr>
        <w:t xml:space="preserve"> 18</w:t>
      </w:r>
      <w:r>
        <w:rPr>
          <w:rFonts w:cstheme="minorHAnsi"/>
          <w:b/>
          <w:sz w:val="22"/>
          <w:szCs w:val="22"/>
          <w:u w:val="single"/>
        </w:rPr>
        <w:t>)</w:t>
      </w:r>
    </w:p>
    <w:p w14:paraId="74CD283C" w14:textId="77777777" w:rsidR="00402C6E" w:rsidRPr="00570CFB" w:rsidRDefault="00402C6E" w:rsidP="00402C6E">
      <w:pPr>
        <w:rPr>
          <w:rFonts w:cstheme="minorHAnsi"/>
          <w:b/>
          <w:sz w:val="22"/>
          <w:szCs w:val="22"/>
        </w:rPr>
      </w:pPr>
      <w:r w:rsidRPr="00570CFB">
        <w:rPr>
          <w:rFonts w:cstheme="minorHAnsi"/>
          <w:b/>
          <w:sz w:val="22"/>
          <w:szCs w:val="22"/>
        </w:rPr>
        <w:t>Problem:</w:t>
      </w:r>
    </w:p>
    <w:p w14:paraId="7D8D8805" w14:textId="6FA772FB" w:rsidR="00402C6E" w:rsidRDefault="00402C6E" w:rsidP="00402C6E">
      <w:pPr>
        <w:rPr>
          <w:rFonts w:cstheme="minorHAnsi"/>
          <w:sz w:val="22"/>
          <w:szCs w:val="22"/>
        </w:rPr>
      </w:pPr>
      <w:r w:rsidRPr="002F05DE">
        <w:rPr>
          <w:rFonts w:cstheme="minorHAnsi"/>
          <w:sz w:val="22"/>
          <w:szCs w:val="22"/>
        </w:rPr>
        <w:t>The preparation of the record has become time</w:t>
      </w:r>
      <w:r w:rsidR="007E49E6">
        <w:rPr>
          <w:rFonts w:cstheme="minorHAnsi"/>
          <w:sz w:val="22"/>
          <w:szCs w:val="22"/>
        </w:rPr>
        <w:t>-</w:t>
      </w:r>
      <w:r w:rsidRPr="002F05DE">
        <w:rPr>
          <w:rFonts w:cstheme="minorHAnsi"/>
          <w:sz w:val="22"/>
          <w:szCs w:val="22"/>
        </w:rPr>
        <w:t>consuming and expensive. Many records contain thousands of pages of documents, including e-</w:t>
      </w:r>
      <w:r w:rsidR="007E49E6" w:rsidRPr="002F05DE">
        <w:rPr>
          <w:rFonts w:cstheme="minorHAnsi"/>
          <w:sz w:val="22"/>
          <w:szCs w:val="22"/>
        </w:rPr>
        <w:t>mails</w:t>
      </w:r>
      <w:r w:rsidR="007E49E6">
        <w:rPr>
          <w:rFonts w:cstheme="minorHAnsi"/>
          <w:sz w:val="22"/>
          <w:szCs w:val="22"/>
        </w:rPr>
        <w:t>,</w:t>
      </w:r>
      <w:r w:rsidR="007E49E6" w:rsidRPr="002F05DE">
        <w:rPr>
          <w:rFonts w:cstheme="minorHAnsi"/>
          <w:sz w:val="22"/>
          <w:szCs w:val="22"/>
        </w:rPr>
        <w:t xml:space="preserve"> </w:t>
      </w:r>
      <w:r w:rsidR="007E49E6">
        <w:rPr>
          <w:rFonts w:cstheme="minorHAnsi"/>
          <w:sz w:val="22"/>
          <w:szCs w:val="22"/>
        </w:rPr>
        <w:t>which</w:t>
      </w:r>
      <w:r w:rsidRPr="002F05DE">
        <w:rPr>
          <w:rFonts w:cstheme="minorHAnsi"/>
          <w:sz w:val="22"/>
          <w:szCs w:val="22"/>
        </w:rPr>
        <w:t xml:space="preserve"> have no bearing on the issues raised in the action and are never referenced by the parties or considered by the court. </w:t>
      </w:r>
      <w:r w:rsidR="008B4F39">
        <w:rPr>
          <w:rFonts w:cstheme="minorHAnsi"/>
          <w:sz w:val="22"/>
          <w:szCs w:val="22"/>
        </w:rPr>
        <w:t xml:space="preserve"> </w:t>
      </w:r>
    </w:p>
    <w:p w14:paraId="39A81C55" w14:textId="77777777" w:rsidR="00402C6E" w:rsidRPr="00570CFB" w:rsidRDefault="00402C6E" w:rsidP="00402C6E">
      <w:pPr>
        <w:rPr>
          <w:rFonts w:cstheme="minorHAnsi"/>
          <w:b/>
          <w:sz w:val="22"/>
          <w:szCs w:val="22"/>
        </w:rPr>
      </w:pPr>
      <w:r w:rsidRPr="00570CFB">
        <w:rPr>
          <w:rFonts w:cstheme="minorHAnsi"/>
          <w:b/>
          <w:sz w:val="22"/>
          <w:szCs w:val="22"/>
        </w:rPr>
        <w:t>Remedy:</w:t>
      </w:r>
    </w:p>
    <w:p w14:paraId="023D02BB" w14:textId="57D33767" w:rsidR="00402C6E" w:rsidRPr="00485684" w:rsidRDefault="004E3D3B" w:rsidP="00402C6E">
      <w:pPr>
        <w:rPr>
          <w:rFonts w:cstheme="minorHAnsi"/>
          <w:sz w:val="22"/>
          <w:szCs w:val="22"/>
        </w:rPr>
      </w:pPr>
      <w:r>
        <w:rPr>
          <w:rFonts w:cstheme="minorHAnsi"/>
          <w:sz w:val="22"/>
          <w:szCs w:val="22"/>
        </w:rPr>
        <w:t>These amendment</w:t>
      </w:r>
      <w:r w:rsidR="00FF4BC0">
        <w:rPr>
          <w:rFonts w:cstheme="minorHAnsi"/>
          <w:sz w:val="22"/>
          <w:szCs w:val="22"/>
        </w:rPr>
        <w:t>s</w:t>
      </w:r>
      <w:r>
        <w:rPr>
          <w:rFonts w:cstheme="minorHAnsi"/>
          <w:sz w:val="22"/>
          <w:szCs w:val="22"/>
        </w:rPr>
        <w:t xml:space="preserve"> provide for r</w:t>
      </w:r>
      <w:r w:rsidR="008B4F39" w:rsidRPr="002F05DE">
        <w:rPr>
          <w:rFonts w:cstheme="minorHAnsi"/>
          <w:sz w:val="22"/>
          <w:szCs w:val="22"/>
        </w:rPr>
        <w:t xml:space="preserve">evised procedures </w:t>
      </w:r>
      <w:r>
        <w:rPr>
          <w:rFonts w:cstheme="minorHAnsi"/>
          <w:sz w:val="22"/>
          <w:szCs w:val="22"/>
        </w:rPr>
        <w:t xml:space="preserve">which </w:t>
      </w:r>
      <w:r w:rsidR="00D2456D">
        <w:rPr>
          <w:rFonts w:cstheme="minorHAnsi"/>
          <w:sz w:val="22"/>
          <w:szCs w:val="22"/>
        </w:rPr>
        <w:t xml:space="preserve">have the potential to </w:t>
      </w:r>
      <w:r w:rsidR="008B4F39" w:rsidRPr="002F05DE">
        <w:rPr>
          <w:rFonts w:cstheme="minorHAnsi"/>
          <w:sz w:val="22"/>
          <w:szCs w:val="22"/>
        </w:rPr>
        <w:t xml:space="preserve">reduce the time and expense of record preparation </w:t>
      </w:r>
      <w:r w:rsidR="00D2456D">
        <w:rPr>
          <w:rFonts w:cstheme="minorHAnsi"/>
          <w:sz w:val="22"/>
          <w:szCs w:val="22"/>
        </w:rPr>
        <w:t xml:space="preserve">through procedural requirements intended to encourage parties to engage in </w:t>
      </w:r>
      <w:r w:rsidR="008B4F39" w:rsidRPr="002F05DE">
        <w:rPr>
          <w:rFonts w:cstheme="minorHAnsi"/>
          <w:sz w:val="22"/>
          <w:szCs w:val="22"/>
        </w:rPr>
        <w:t>coordinated</w:t>
      </w:r>
      <w:r w:rsidR="00D2456D">
        <w:rPr>
          <w:rFonts w:cstheme="minorHAnsi"/>
          <w:sz w:val="22"/>
          <w:szCs w:val="22"/>
        </w:rPr>
        <w:t xml:space="preserve">, </w:t>
      </w:r>
      <w:r w:rsidR="008B4F39" w:rsidRPr="002F05DE">
        <w:rPr>
          <w:rFonts w:cstheme="minorHAnsi"/>
          <w:sz w:val="22"/>
          <w:szCs w:val="22"/>
        </w:rPr>
        <w:t xml:space="preserve">cooperative effort to streamline the record content while </w:t>
      </w:r>
      <w:r w:rsidR="00D2456D">
        <w:rPr>
          <w:rFonts w:cstheme="minorHAnsi"/>
          <w:sz w:val="22"/>
          <w:szCs w:val="22"/>
        </w:rPr>
        <w:t xml:space="preserve">still </w:t>
      </w:r>
      <w:r w:rsidR="008B4F39" w:rsidRPr="002F05DE">
        <w:rPr>
          <w:rFonts w:cstheme="minorHAnsi"/>
          <w:sz w:val="22"/>
          <w:szCs w:val="22"/>
        </w:rPr>
        <w:t>ensuring that the court is provided with the necessary documentation to determine the issues.</w:t>
      </w:r>
      <w:r w:rsidR="00D2456D">
        <w:rPr>
          <w:rFonts w:cstheme="minorHAnsi"/>
          <w:sz w:val="22"/>
          <w:szCs w:val="22"/>
        </w:rPr>
        <w:t xml:space="preserve"> </w:t>
      </w:r>
      <w:r w:rsidR="00402C6E" w:rsidRPr="00CB5C7A">
        <w:rPr>
          <w:rFonts w:cstheme="minorHAnsi"/>
          <w:sz w:val="22"/>
          <w:szCs w:val="22"/>
        </w:rPr>
        <w:t xml:space="preserve">Petitioners will retain their existing right to elect to prepare the record as a means of containing costs, but respondents and real parties will obtain a statutory right to prepare the record if they agree to bear the full costs, win or lose. </w:t>
      </w:r>
    </w:p>
    <w:p w14:paraId="799E75F4" w14:textId="77777777" w:rsidR="00485684" w:rsidRDefault="00485684" w:rsidP="00BE2F9B">
      <w:pPr>
        <w:ind w:left="1440" w:hanging="1440"/>
        <w:rPr>
          <w:rFonts w:cstheme="minorHAnsi"/>
          <w:sz w:val="22"/>
          <w:szCs w:val="22"/>
          <w:highlight w:val="yellow"/>
        </w:rPr>
      </w:pPr>
    </w:p>
    <w:p w14:paraId="4F201BEB" w14:textId="2B7AF118" w:rsidR="00AC480F" w:rsidRDefault="00AD028B" w:rsidP="00BE2F9B">
      <w:pPr>
        <w:ind w:left="1440" w:hanging="1440"/>
        <w:rPr>
          <w:rFonts w:cstheme="minorHAnsi"/>
          <w:b/>
          <w:sz w:val="22"/>
          <w:szCs w:val="22"/>
          <w:highlight w:val="yellow"/>
          <w:u w:val="single"/>
        </w:rPr>
      </w:pPr>
      <w:r>
        <w:rPr>
          <w:rFonts w:cstheme="minorHAnsi"/>
          <w:b/>
          <w:sz w:val="22"/>
          <w:szCs w:val="22"/>
          <w:u w:val="single"/>
        </w:rPr>
        <w:t>Goal</w:t>
      </w:r>
      <w:r w:rsidR="00E03290" w:rsidRPr="00FE3805">
        <w:rPr>
          <w:rFonts w:cstheme="minorHAnsi"/>
          <w:b/>
          <w:sz w:val="22"/>
          <w:szCs w:val="22"/>
          <w:u w:val="single"/>
        </w:rPr>
        <w:t xml:space="preserve"> 2</w:t>
      </w:r>
      <w:r w:rsidR="00BE2F9B" w:rsidRPr="00FE3805">
        <w:rPr>
          <w:rFonts w:cstheme="minorHAnsi"/>
          <w:b/>
          <w:sz w:val="22"/>
          <w:szCs w:val="22"/>
          <w:u w:val="single"/>
        </w:rPr>
        <w:t>: CMC Procedures</w:t>
      </w:r>
      <w:r w:rsidR="00797BB2">
        <w:rPr>
          <w:rFonts w:cstheme="minorHAnsi"/>
          <w:b/>
          <w:sz w:val="22"/>
          <w:szCs w:val="22"/>
          <w:u w:val="single"/>
        </w:rPr>
        <w:t xml:space="preserve"> (</w:t>
      </w:r>
      <w:r w:rsidR="00797BB2" w:rsidRPr="00AC480F">
        <w:rPr>
          <w:rFonts w:cstheme="minorHAnsi"/>
          <w:b/>
          <w:sz w:val="22"/>
          <w:szCs w:val="22"/>
          <w:u w:val="single"/>
        </w:rPr>
        <w:t>SEC. 1</w:t>
      </w:r>
      <w:r w:rsidR="00CC2846">
        <w:rPr>
          <w:rFonts w:cstheme="minorHAnsi"/>
          <w:b/>
          <w:sz w:val="22"/>
          <w:szCs w:val="22"/>
          <w:u w:val="single"/>
        </w:rPr>
        <w:t>7</w:t>
      </w:r>
      <w:r w:rsidR="00797BB2">
        <w:rPr>
          <w:rFonts w:cstheme="minorHAnsi"/>
          <w:b/>
          <w:sz w:val="22"/>
          <w:szCs w:val="22"/>
          <w:u w:val="single"/>
        </w:rPr>
        <w:t xml:space="preserve">, </w:t>
      </w:r>
      <w:r w:rsidR="00CC2846">
        <w:rPr>
          <w:rFonts w:cstheme="minorHAnsi"/>
          <w:b/>
          <w:sz w:val="22"/>
          <w:szCs w:val="22"/>
          <w:u w:val="single"/>
        </w:rPr>
        <w:t>18</w:t>
      </w:r>
      <w:r w:rsidR="00797BB2">
        <w:rPr>
          <w:rFonts w:cstheme="minorHAnsi"/>
          <w:b/>
          <w:sz w:val="22"/>
          <w:szCs w:val="22"/>
          <w:u w:val="single"/>
        </w:rPr>
        <w:t>, 2</w:t>
      </w:r>
      <w:r w:rsidR="00CC2846">
        <w:rPr>
          <w:rFonts w:cstheme="minorHAnsi"/>
          <w:b/>
          <w:sz w:val="22"/>
          <w:szCs w:val="22"/>
          <w:u w:val="single"/>
        </w:rPr>
        <w:t>0</w:t>
      </w:r>
      <w:r w:rsidR="00797BB2">
        <w:rPr>
          <w:rFonts w:cstheme="minorHAnsi"/>
          <w:b/>
          <w:sz w:val="22"/>
          <w:szCs w:val="22"/>
          <w:u w:val="single"/>
        </w:rPr>
        <w:t>)</w:t>
      </w:r>
      <w:r w:rsidR="005E2DEE">
        <w:rPr>
          <w:rFonts w:cstheme="minorHAnsi"/>
          <w:b/>
          <w:sz w:val="22"/>
          <w:szCs w:val="22"/>
          <w:u w:val="single"/>
        </w:rPr>
        <w:t xml:space="preserve"> </w:t>
      </w:r>
    </w:p>
    <w:p w14:paraId="1DDBE4DC" w14:textId="77777777" w:rsidR="005A6F62" w:rsidRPr="00570CFB" w:rsidRDefault="005A6F62" w:rsidP="00BE2F9B">
      <w:pPr>
        <w:ind w:left="1440" w:hanging="1440"/>
        <w:rPr>
          <w:rFonts w:cstheme="minorHAnsi"/>
          <w:b/>
          <w:sz w:val="22"/>
          <w:szCs w:val="22"/>
        </w:rPr>
      </w:pPr>
      <w:r w:rsidRPr="00570CFB">
        <w:rPr>
          <w:rFonts w:cstheme="minorHAnsi"/>
          <w:b/>
          <w:sz w:val="22"/>
          <w:szCs w:val="22"/>
        </w:rPr>
        <w:t>Problem:</w:t>
      </w:r>
    </w:p>
    <w:p w14:paraId="17E78146" w14:textId="77777777" w:rsidR="00AD028B" w:rsidRPr="00AD028B" w:rsidRDefault="00532B2C" w:rsidP="00AD028B">
      <w:pPr>
        <w:rPr>
          <w:sz w:val="22"/>
          <w:szCs w:val="22"/>
        </w:rPr>
      </w:pPr>
      <w:r>
        <w:rPr>
          <w:rFonts w:cstheme="minorHAnsi"/>
          <w:sz w:val="22"/>
          <w:szCs w:val="22"/>
        </w:rPr>
        <w:t>There is l</w:t>
      </w:r>
      <w:r w:rsidR="005A6F62" w:rsidRPr="00532B2C">
        <w:rPr>
          <w:rFonts w:cstheme="minorHAnsi"/>
          <w:sz w:val="22"/>
          <w:szCs w:val="22"/>
        </w:rPr>
        <w:t>imited a</w:t>
      </w:r>
      <w:r w:rsidR="00AD028B" w:rsidRPr="00532B2C">
        <w:rPr>
          <w:rFonts w:cstheme="minorHAnsi"/>
          <w:sz w:val="22"/>
          <w:szCs w:val="22"/>
        </w:rPr>
        <w:t>bility</w:t>
      </w:r>
      <w:r w:rsidR="00AD028B">
        <w:rPr>
          <w:rFonts w:cstheme="minorHAnsi"/>
          <w:sz w:val="22"/>
          <w:szCs w:val="22"/>
        </w:rPr>
        <w:t xml:space="preserve"> under current procedures for parties to anticipate </w:t>
      </w:r>
      <w:r w:rsidR="00AD028B" w:rsidRPr="00AD028B">
        <w:rPr>
          <w:sz w:val="22"/>
          <w:szCs w:val="22"/>
        </w:rPr>
        <w:t>and pro-actively manage record disputes, logistical delays</w:t>
      </w:r>
      <w:r w:rsidR="00AD028B">
        <w:rPr>
          <w:sz w:val="22"/>
          <w:szCs w:val="22"/>
        </w:rPr>
        <w:t xml:space="preserve">, </w:t>
      </w:r>
      <w:r w:rsidR="00AD028B" w:rsidRPr="00AD028B">
        <w:rPr>
          <w:sz w:val="22"/>
          <w:szCs w:val="22"/>
        </w:rPr>
        <w:t>review settlement potential</w:t>
      </w:r>
      <w:r w:rsidR="00A21CAB">
        <w:rPr>
          <w:sz w:val="22"/>
          <w:szCs w:val="22"/>
        </w:rPr>
        <w:t xml:space="preserve">, </w:t>
      </w:r>
      <w:r w:rsidR="00A21CAB" w:rsidRPr="00AC480F">
        <w:rPr>
          <w:sz w:val="22"/>
          <w:szCs w:val="22"/>
        </w:rPr>
        <w:t>and to expedite a hearing on the merits.</w:t>
      </w:r>
    </w:p>
    <w:p w14:paraId="27571A7F" w14:textId="77777777" w:rsidR="005A6F62" w:rsidRPr="00570CFB" w:rsidRDefault="00AD028B" w:rsidP="00BE2F9B">
      <w:pPr>
        <w:ind w:left="1440" w:hanging="1440"/>
        <w:rPr>
          <w:rFonts w:cstheme="minorHAnsi"/>
          <w:b/>
          <w:sz w:val="22"/>
          <w:szCs w:val="22"/>
        </w:rPr>
      </w:pPr>
      <w:r w:rsidRPr="00570CFB">
        <w:rPr>
          <w:rFonts w:cstheme="minorHAnsi"/>
          <w:b/>
          <w:sz w:val="22"/>
          <w:szCs w:val="22"/>
        </w:rPr>
        <w:t>Remedy:</w:t>
      </w:r>
    </w:p>
    <w:p w14:paraId="53A0393A" w14:textId="424B9804" w:rsidR="00E03290" w:rsidRDefault="004E3D3B" w:rsidP="00C1578F">
      <w:pPr>
        <w:rPr>
          <w:rFonts w:cstheme="minorHAnsi"/>
          <w:sz w:val="22"/>
          <w:szCs w:val="22"/>
        </w:rPr>
      </w:pPr>
      <w:r>
        <w:rPr>
          <w:rFonts w:cstheme="minorHAnsi"/>
          <w:sz w:val="22"/>
          <w:szCs w:val="22"/>
        </w:rPr>
        <w:t>These amendments e</w:t>
      </w:r>
      <w:r w:rsidR="00AD028B">
        <w:rPr>
          <w:rFonts w:cstheme="minorHAnsi"/>
          <w:sz w:val="22"/>
          <w:szCs w:val="22"/>
        </w:rPr>
        <w:t>stablish a</w:t>
      </w:r>
      <w:r w:rsidR="00E03290" w:rsidRPr="002F05DE">
        <w:rPr>
          <w:rFonts w:cstheme="minorHAnsi"/>
          <w:sz w:val="22"/>
          <w:szCs w:val="22"/>
        </w:rPr>
        <w:t xml:space="preserve">n early mandatory Case Management Conference </w:t>
      </w:r>
      <w:r w:rsidR="00C1578F">
        <w:rPr>
          <w:rFonts w:cstheme="minorHAnsi"/>
          <w:sz w:val="22"/>
          <w:szCs w:val="22"/>
        </w:rPr>
        <w:t xml:space="preserve">(CMC) </w:t>
      </w:r>
      <w:r w:rsidR="00AD028B">
        <w:rPr>
          <w:rFonts w:cstheme="minorHAnsi"/>
          <w:sz w:val="22"/>
          <w:szCs w:val="22"/>
        </w:rPr>
        <w:t>enabling</w:t>
      </w:r>
      <w:r w:rsidR="00E03290" w:rsidRPr="002F05DE">
        <w:rPr>
          <w:rFonts w:cstheme="minorHAnsi"/>
          <w:sz w:val="22"/>
          <w:szCs w:val="22"/>
        </w:rPr>
        <w:t xml:space="preserve"> parties and the court to focus</w:t>
      </w:r>
      <w:r w:rsidR="00FF4BC0">
        <w:rPr>
          <w:rFonts w:cstheme="minorHAnsi"/>
          <w:sz w:val="22"/>
          <w:szCs w:val="22"/>
        </w:rPr>
        <w:t xml:space="preserve"> on</w:t>
      </w:r>
      <w:r w:rsidR="00E03290" w:rsidRPr="002F05DE">
        <w:rPr>
          <w:rFonts w:cstheme="minorHAnsi"/>
          <w:sz w:val="22"/>
          <w:szCs w:val="22"/>
        </w:rPr>
        <w:t>, among other things, issues that could delay the timely completion of a sufficient record. Common means for narrowing the scopes of records – such as excluding categories of irrelevant documents – will become mandatory topics of conversation. No mandatory judicial intervention is required, but th</w:t>
      </w:r>
      <w:r w:rsidR="00AD028B">
        <w:rPr>
          <w:rFonts w:cstheme="minorHAnsi"/>
          <w:sz w:val="22"/>
          <w:szCs w:val="22"/>
        </w:rPr>
        <w:t>e intent</w:t>
      </w:r>
      <w:r w:rsidR="00E03290" w:rsidRPr="002F05DE">
        <w:rPr>
          <w:rFonts w:cstheme="minorHAnsi"/>
          <w:sz w:val="22"/>
          <w:szCs w:val="22"/>
        </w:rPr>
        <w:t xml:space="preserve"> is that open discussion of these issues amongst the parties and the court will facilitate </w:t>
      </w:r>
      <w:r w:rsidR="007E49E6">
        <w:rPr>
          <w:rFonts w:cstheme="minorHAnsi"/>
          <w:sz w:val="22"/>
          <w:szCs w:val="22"/>
        </w:rPr>
        <w:t xml:space="preserve">the </w:t>
      </w:r>
      <w:r w:rsidR="00E03290" w:rsidRPr="002F05DE">
        <w:rPr>
          <w:rFonts w:cstheme="minorHAnsi"/>
          <w:sz w:val="22"/>
          <w:szCs w:val="22"/>
        </w:rPr>
        <w:t>resolution of sticky issues</w:t>
      </w:r>
      <w:r w:rsidR="00DC379B">
        <w:rPr>
          <w:rFonts w:cstheme="minorHAnsi"/>
          <w:sz w:val="22"/>
          <w:szCs w:val="22"/>
        </w:rPr>
        <w:t xml:space="preserve"> more expeditiously.</w:t>
      </w:r>
    </w:p>
    <w:p w14:paraId="44C03DA9" w14:textId="77777777" w:rsidR="00485684" w:rsidRPr="002F05DE" w:rsidRDefault="00485684" w:rsidP="00485684">
      <w:pPr>
        <w:rPr>
          <w:rFonts w:cstheme="minorHAnsi"/>
          <w:sz w:val="22"/>
          <w:szCs w:val="22"/>
        </w:rPr>
      </w:pPr>
      <w:r w:rsidRPr="00CB5C7A">
        <w:rPr>
          <w:rFonts w:cstheme="minorHAnsi"/>
          <w:sz w:val="22"/>
          <w:szCs w:val="22"/>
        </w:rPr>
        <w:t>Mandatory settlement conferences very early in cases may be limited to discussion among counsel of procedural issues and assessing whether settlement discussions could be fruitful. More focused client participation would be delayed until after completion of the CMC.</w:t>
      </w:r>
      <w:r w:rsidRPr="002F05DE">
        <w:rPr>
          <w:rFonts w:cstheme="minorHAnsi"/>
          <w:sz w:val="22"/>
          <w:szCs w:val="22"/>
        </w:rPr>
        <w:t xml:space="preserve">  </w:t>
      </w:r>
    </w:p>
    <w:p w14:paraId="1E0A6333" w14:textId="77777777" w:rsidR="00485684" w:rsidRDefault="00485684" w:rsidP="00C1578F">
      <w:pPr>
        <w:rPr>
          <w:rFonts w:cstheme="minorHAnsi"/>
          <w:sz w:val="22"/>
          <w:szCs w:val="22"/>
        </w:rPr>
      </w:pPr>
    </w:p>
    <w:p w14:paraId="0F8C5719" w14:textId="77777777" w:rsidR="00DC379B" w:rsidRDefault="00DC379B" w:rsidP="00C1578F">
      <w:pPr>
        <w:rPr>
          <w:rFonts w:cstheme="minorHAnsi"/>
          <w:sz w:val="22"/>
          <w:szCs w:val="22"/>
        </w:rPr>
      </w:pPr>
    </w:p>
    <w:p w14:paraId="15F61D12" w14:textId="77777777" w:rsidR="00DC379B" w:rsidRDefault="00DC379B" w:rsidP="00C1578F">
      <w:pPr>
        <w:rPr>
          <w:rFonts w:cstheme="minorHAnsi"/>
          <w:sz w:val="22"/>
          <w:szCs w:val="22"/>
        </w:rPr>
      </w:pPr>
    </w:p>
    <w:p w14:paraId="1DC5FDDA" w14:textId="77777777" w:rsidR="009A559C" w:rsidRPr="002F05DE" w:rsidRDefault="009A559C" w:rsidP="00C1578F">
      <w:pPr>
        <w:rPr>
          <w:rFonts w:cstheme="minorHAnsi"/>
          <w:sz w:val="22"/>
          <w:szCs w:val="22"/>
        </w:rPr>
      </w:pPr>
    </w:p>
    <w:p w14:paraId="4FA86485" w14:textId="77777777" w:rsidR="00DF0418" w:rsidRPr="002F05DE" w:rsidRDefault="00DF0418" w:rsidP="00BE2F9B">
      <w:pPr>
        <w:rPr>
          <w:rFonts w:cstheme="minorHAnsi"/>
          <w:b/>
          <w:sz w:val="22"/>
          <w:szCs w:val="22"/>
        </w:rPr>
      </w:pPr>
    </w:p>
    <w:p w14:paraId="0A25115F" w14:textId="07B8A81C" w:rsidR="00706368" w:rsidRDefault="00751DB4" w:rsidP="00BE2F9B">
      <w:pPr>
        <w:rPr>
          <w:rFonts w:cstheme="minorHAnsi"/>
          <w:b/>
          <w:sz w:val="22"/>
          <w:szCs w:val="22"/>
          <w:u w:val="single"/>
        </w:rPr>
      </w:pPr>
      <w:r>
        <w:rPr>
          <w:rFonts w:cstheme="minorHAnsi"/>
          <w:b/>
          <w:sz w:val="22"/>
          <w:szCs w:val="22"/>
          <w:u w:val="single"/>
        </w:rPr>
        <w:t>Goal</w:t>
      </w:r>
      <w:r w:rsidR="00706368" w:rsidRPr="00797BB2">
        <w:rPr>
          <w:rFonts w:cstheme="minorHAnsi"/>
          <w:b/>
          <w:sz w:val="22"/>
          <w:szCs w:val="22"/>
          <w:u w:val="single"/>
        </w:rPr>
        <w:t xml:space="preserve"> 3</w:t>
      </w:r>
      <w:r w:rsidR="00BE2F9B" w:rsidRPr="00797BB2">
        <w:rPr>
          <w:rFonts w:cstheme="minorHAnsi"/>
          <w:b/>
          <w:sz w:val="22"/>
          <w:szCs w:val="22"/>
          <w:u w:val="single"/>
        </w:rPr>
        <w:t xml:space="preserve">: Tolling </w:t>
      </w:r>
      <w:r w:rsidR="001361C0">
        <w:rPr>
          <w:rFonts w:cstheme="minorHAnsi"/>
          <w:b/>
          <w:sz w:val="22"/>
          <w:szCs w:val="22"/>
          <w:u w:val="single"/>
        </w:rPr>
        <w:t>A</w:t>
      </w:r>
      <w:r w:rsidR="00BE2F9B" w:rsidRPr="00797BB2">
        <w:rPr>
          <w:rFonts w:cstheme="minorHAnsi"/>
          <w:b/>
          <w:sz w:val="22"/>
          <w:szCs w:val="22"/>
          <w:u w:val="single"/>
        </w:rPr>
        <w:t>greements</w:t>
      </w:r>
      <w:r w:rsidR="00797BB2" w:rsidRPr="00797BB2">
        <w:rPr>
          <w:rFonts w:cstheme="minorHAnsi"/>
          <w:b/>
          <w:sz w:val="22"/>
          <w:szCs w:val="22"/>
          <w:u w:val="single"/>
        </w:rPr>
        <w:t xml:space="preserve"> </w:t>
      </w:r>
      <w:r w:rsidR="00797BB2">
        <w:rPr>
          <w:rFonts w:cstheme="minorHAnsi"/>
          <w:b/>
          <w:sz w:val="22"/>
          <w:szCs w:val="22"/>
          <w:u w:val="single"/>
        </w:rPr>
        <w:t>(</w:t>
      </w:r>
      <w:r w:rsidR="00797BB2" w:rsidRPr="000E3AAC">
        <w:rPr>
          <w:rFonts w:cstheme="minorHAnsi"/>
          <w:b/>
          <w:sz w:val="22"/>
          <w:szCs w:val="22"/>
          <w:u w:val="single"/>
        </w:rPr>
        <w:t>SEC. 1</w:t>
      </w:r>
      <w:r w:rsidR="00CC2846">
        <w:rPr>
          <w:rFonts w:cstheme="minorHAnsi"/>
          <w:b/>
          <w:sz w:val="22"/>
          <w:szCs w:val="22"/>
          <w:u w:val="single"/>
        </w:rPr>
        <w:t>4</w:t>
      </w:r>
      <w:r w:rsidR="00797BB2" w:rsidRPr="000E3AAC">
        <w:rPr>
          <w:rFonts w:cstheme="minorHAnsi"/>
          <w:b/>
          <w:sz w:val="22"/>
          <w:szCs w:val="22"/>
          <w:u w:val="single"/>
        </w:rPr>
        <w:t xml:space="preserve">, </w:t>
      </w:r>
      <w:r w:rsidR="00CC2846">
        <w:rPr>
          <w:rFonts w:cstheme="minorHAnsi"/>
          <w:b/>
          <w:sz w:val="22"/>
          <w:szCs w:val="22"/>
          <w:u w:val="single"/>
        </w:rPr>
        <w:t>5</w:t>
      </w:r>
      <w:r w:rsidR="007B5695" w:rsidRPr="000E3AAC">
        <w:rPr>
          <w:rFonts w:cstheme="minorHAnsi"/>
          <w:b/>
          <w:sz w:val="22"/>
          <w:szCs w:val="22"/>
          <w:u w:val="single"/>
        </w:rPr>
        <w:t xml:space="preserve">, </w:t>
      </w:r>
      <w:r w:rsidR="00CC2846">
        <w:rPr>
          <w:rFonts w:cstheme="minorHAnsi"/>
          <w:b/>
          <w:sz w:val="22"/>
          <w:szCs w:val="22"/>
          <w:u w:val="single"/>
        </w:rPr>
        <w:t>6</w:t>
      </w:r>
      <w:r w:rsidR="00797BB2" w:rsidRPr="000E3AAC">
        <w:rPr>
          <w:rFonts w:cstheme="minorHAnsi"/>
          <w:b/>
          <w:sz w:val="22"/>
          <w:szCs w:val="22"/>
          <w:u w:val="single"/>
        </w:rPr>
        <w:t>)</w:t>
      </w:r>
    </w:p>
    <w:p w14:paraId="4B180ED3" w14:textId="77777777" w:rsidR="00DF0418" w:rsidRPr="00570CFB" w:rsidRDefault="00DF0418" w:rsidP="00BE2F9B">
      <w:pPr>
        <w:rPr>
          <w:rFonts w:cstheme="minorHAnsi"/>
          <w:b/>
          <w:sz w:val="22"/>
          <w:szCs w:val="22"/>
        </w:rPr>
      </w:pPr>
      <w:r w:rsidRPr="00570CFB">
        <w:rPr>
          <w:rFonts w:cstheme="minorHAnsi"/>
          <w:b/>
          <w:sz w:val="22"/>
          <w:szCs w:val="22"/>
        </w:rPr>
        <w:t>Problem:</w:t>
      </w:r>
    </w:p>
    <w:p w14:paraId="74FDA006" w14:textId="351600BE" w:rsidR="00DF0418" w:rsidRDefault="00706368" w:rsidP="00BE2F9B">
      <w:pPr>
        <w:rPr>
          <w:rFonts w:cstheme="minorHAnsi"/>
          <w:sz w:val="22"/>
          <w:szCs w:val="22"/>
        </w:rPr>
      </w:pPr>
      <w:r w:rsidRPr="002F05DE">
        <w:rPr>
          <w:rFonts w:cstheme="minorHAnsi"/>
          <w:sz w:val="22"/>
          <w:szCs w:val="22"/>
        </w:rPr>
        <w:t>CEQA and the Government Code provide very short statutes of limitations</w:t>
      </w:r>
      <w:r w:rsidR="00FF4BC0">
        <w:rPr>
          <w:rFonts w:cstheme="minorHAnsi"/>
          <w:sz w:val="22"/>
          <w:szCs w:val="22"/>
        </w:rPr>
        <w:t xml:space="preserve">, after which the </w:t>
      </w:r>
      <w:r w:rsidRPr="002F05DE">
        <w:rPr>
          <w:rFonts w:cstheme="minorHAnsi"/>
          <w:sz w:val="22"/>
          <w:szCs w:val="22"/>
        </w:rPr>
        <w:t xml:space="preserve">right to file </w:t>
      </w:r>
      <w:r w:rsidR="00FF4BC0">
        <w:rPr>
          <w:rFonts w:cstheme="minorHAnsi"/>
          <w:sz w:val="22"/>
          <w:szCs w:val="22"/>
        </w:rPr>
        <w:t>litigations is</w:t>
      </w:r>
      <w:r w:rsidRPr="002F05DE">
        <w:rPr>
          <w:rFonts w:cstheme="minorHAnsi"/>
          <w:sz w:val="22"/>
          <w:szCs w:val="22"/>
        </w:rPr>
        <w:t xml:space="preserve"> waived. At times, interested parties would like to engage in settlement discussions without litigation being filed and to provide for additional time for those discussions. However</w:t>
      </w:r>
      <w:r w:rsidR="004C39E0">
        <w:rPr>
          <w:rFonts w:cstheme="minorHAnsi"/>
          <w:sz w:val="22"/>
          <w:szCs w:val="22"/>
        </w:rPr>
        <w:t>,</w:t>
      </w:r>
      <w:r w:rsidR="00FF4BC0">
        <w:rPr>
          <w:rFonts w:cstheme="minorHAnsi"/>
          <w:sz w:val="22"/>
          <w:szCs w:val="22"/>
        </w:rPr>
        <w:t xml:space="preserve"> </w:t>
      </w:r>
      <w:r w:rsidRPr="002F05DE">
        <w:rPr>
          <w:rFonts w:cstheme="minorHAnsi"/>
          <w:sz w:val="22"/>
          <w:szCs w:val="22"/>
        </w:rPr>
        <w:t xml:space="preserve">current law is </w:t>
      </w:r>
      <w:r w:rsidR="0082251B">
        <w:rPr>
          <w:rFonts w:cstheme="minorHAnsi"/>
          <w:sz w:val="22"/>
          <w:szCs w:val="22"/>
        </w:rPr>
        <w:t xml:space="preserve">less clear than it could be </w:t>
      </w:r>
      <w:r w:rsidRPr="002F05DE">
        <w:rPr>
          <w:rFonts w:cstheme="minorHAnsi"/>
          <w:sz w:val="22"/>
          <w:szCs w:val="22"/>
        </w:rPr>
        <w:t xml:space="preserve">that parties can agree by stipulation to toll deadlines so as not to require the filing of litigation in order not to lose </w:t>
      </w:r>
      <w:r w:rsidR="007E49E6">
        <w:rPr>
          <w:rFonts w:cstheme="minorHAnsi"/>
          <w:sz w:val="22"/>
          <w:szCs w:val="22"/>
        </w:rPr>
        <w:t xml:space="preserve">the </w:t>
      </w:r>
      <w:r w:rsidRPr="002F05DE">
        <w:rPr>
          <w:rFonts w:cstheme="minorHAnsi"/>
          <w:sz w:val="22"/>
          <w:szCs w:val="22"/>
        </w:rPr>
        <w:t xml:space="preserve">rights to file a lawsuit. </w:t>
      </w:r>
    </w:p>
    <w:p w14:paraId="40F0EB2F" w14:textId="77777777" w:rsidR="00DF0418" w:rsidRPr="00570CFB" w:rsidRDefault="00DF0418" w:rsidP="00BE2F9B">
      <w:pPr>
        <w:rPr>
          <w:rFonts w:cstheme="minorHAnsi"/>
          <w:b/>
          <w:sz w:val="22"/>
          <w:szCs w:val="22"/>
        </w:rPr>
      </w:pPr>
      <w:r w:rsidRPr="00570CFB">
        <w:rPr>
          <w:rFonts w:cstheme="minorHAnsi"/>
          <w:b/>
          <w:sz w:val="22"/>
          <w:szCs w:val="22"/>
        </w:rPr>
        <w:t>Remedy:</w:t>
      </w:r>
    </w:p>
    <w:p w14:paraId="757B3E37" w14:textId="77777777" w:rsidR="00BE2F9B" w:rsidRDefault="004E3D3B" w:rsidP="00BE2F9B">
      <w:pPr>
        <w:rPr>
          <w:rFonts w:cstheme="minorHAnsi"/>
          <w:sz w:val="22"/>
          <w:szCs w:val="22"/>
        </w:rPr>
      </w:pPr>
      <w:r>
        <w:rPr>
          <w:rFonts w:cstheme="minorHAnsi"/>
          <w:sz w:val="22"/>
          <w:szCs w:val="22"/>
        </w:rPr>
        <w:t>These amendments c</w:t>
      </w:r>
      <w:r w:rsidR="00706368" w:rsidRPr="002F05DE">
        <w:rPr>
          <w:rFonts w:cstheme="minorHAnsi"/>
          <w:sz w:val="22"/>
          <w:szCs w:val="22"/>
        </w:rPr>
        <w:t>larify that tolling agreements are effective to toll the commonly applicable statutes of limitations</w:t>
      </w:r>
      <w:r w:rsidR="004B11B7" w:rsidRPr="00AC480F">
        <w:rPr>
          <w:rFonts w:cstheme="minorHAnsi"/>
          <w:sz w:val="22"/>
          <w:szCs w:val="22"/>
        </w:rPr>
        <w:t xml:space="preserve">, and </w:t>
      </w:r>
      <w:r w:rsidR="00FE19A4" w:rsidRPr="00AC480F">
        <w:rPr>
          <w:rFonts w:cstheme="minorHAnsi"/>
          <w:sz w:val="22"/>
          <w:szCs w:val="22"/>
        </w:rPr>
        <w:t xml:space="preserve">that legal counsel for a public agency has the authority to </w:t>
      </w:r>
      <w:r w:rsidR="00FE19A4" w:rsidRPr="004C39E0">
        <w:rPr>
          <w:rFonts w:cstheme="minorHAnsi"/>
          <w:sz w:val="22"/>
          <w:szCs w:val="22"/>
        </w:rPr>
        <w:t xml:space="preserve">execute </w:t>
      </w:r>
      <w:r w:rsidR="00FF4BC0" w:rsidRPr="004C39E0">
        <w:rPr>
          <w:rFonts w:cstheme="minorHAnsi"/>
          <w:sz w:val="22"/>
          <w:szCs w:val="22"/>
        </w:rPr>
        <w:t xml:space="preserve">tolling </w:t>
      </w:r>
      <w:r w:rsidR="00FE19A4" w:rsidRPr="004C39E0">
        <w:rPr>
          <w:rFonts w:cstheme="minorHAnsi"/>
          <w:sz w:val="22"/>
          <w:szCs w:val="22"/>
        </w:rPr>
        <w:t>agreements</w:t>
      </w:r>
      <w:r w:rsidR="00FE19A4" w:rsidRPr="00AC480F">
        <w:rPr>
          <w:rFonts w:cstheme="minorHAnsi"/>
          <w:sz w:val="22"/>
          <w:szCs w:val="22"/>
        </w:rPr>
        <w:t xml:space="preserve"> on behalf of that agency.</w:t>
      </w:r>
      <w:r w:rsidR="008F1303" w:rsidRPr="00AC480F">
        <w:rPr>
          <w:rFonts w:cstheme="minorHAnsi"/>
          <w:sz w:val="22"/>
          <w:szCs w:val="22"/>
        </w:rPr>
        <w:t xml:space="preserve"> </w:t>
      </w:r>
    </w:p>
    <w:p w14:paraId="140EC383" w14:textId="77777777" w:rsidR="00AC480F" w:rsidRDefault="00AC480F" w:rsidP="00BE2F9B">
      <w:pPr>
        <w:rPr>
          <w:rFonts w:cstheme="minorHAnsi"/>
          <w:sz w:val="22"/>
          <w:szCs w:val="22"/>
        </w:rPr>
      </w:pPr>
    </w:p>
    <w:p w14:paraId="156F3210" w14:textId="345D3570" w:rsidR="008F74E9" w:rsidRPr="00FE19A4" w:rsidRDefault="008F74E9" w:rsidP="008F74E9">
      <w:pPr>
        <w:ind w:left="1440" w:hanging="1440"/>
        <w:rPr>
          <w:rFonts w:cstheme="minorHAnsi"/>
          <w:b/>
          <w:sz w:val="22"/>
          <w:szCs w:val="22"/>
          <w:highlight w:val="yellow"/>
          <w:u w:val="single"/>
        </w:rPr>
      </w:pPr>
      <w:r>
        <w:rPr>
          <w:rFonts w:cstheme="minorHAnsi"/>
          <w:b/>
          <w:sz w:val="22"/>
          <w:szCs w:val="22"/>
          <w:u w:val="single"/>
        </w:rPr>
        <w:t>Goal</w:t>
      </w:r>
      <w:r w:rsidRPr="00797BB2">
        <w:rPr>
          <w:rFonts w:cstheme="minorHAnsi"/>
          <w:b/>
          <w:sz w:val="22"/>
          <w:szCs w:val="22"/>
          <w:u w:val="single"/>
        </w:rPr>
        <w:t xml:space="preserve"> </w:t>
      </w:r>
      <w:r w:rsidR="007D63E2">
        <w:rPr>
          <w:rFonts w:cstheme="minorHAnsi"/>
          <w:b/>
          <w:sz w:val="22"/>
          <w:szCs w:val="22"/>
          <w:u w:val="single"/>
        </w:rPr>
        <w:t>4</w:t>
      </w:r>
      <w:r w:rsidRPr="00797BB2">
        <w:rPr>
          <w:rFonts w:cstheme="minorHAnsi"/>
          <w:b/>
          <w:sz w:val="22"/>
          <w:szCs w:val="22"/>
          <w:u w:val="single"/>
        </w:rPr>
        <w:t>: Pre-hearing Settlement</w:t>
      </w:r>
      <w:r w:rsidR="00840068">
        <w:rPr>
          <w:rFonts w:cstheme="minorHAnsi"/>
          <w:b/>
          <w:sz w:val="22"/>
          <w:szCs w:val="22"/>
          <w:u w:val="single"/>
        </w:rPr>
        <w:t xml:space="preserve"> Meeting</w:t>
      </w:r>
      <w:r w:rsidRPr="00797BB2">
        <w:rPr>
          <w:rFonts w:cstheme="minorHAnsi"/>
          <w:b/>
          <w:sz w:val="22"/>
          <w:szCs w:val="22"/>
          <w:u w:val="single"/>
        </w:rPr>
        <w:t xml:space="preserve"> (SEC. </w:t>
      </w:r>
      <w:r w:rsidR="00CC2846">
        <w:rPr>
          <w:rFonts w:cstheme="minorHAnsi"/>
          <w:b/>
          <w:sz w:val="22"/>
          <w:szCs w:val="22"/>
          <w:u w:val="single"/>
        </w:rPr>
        <w:t>19</w:t>
      </w:r>
      <w:r w:rsidRPr="00797BB2">
        <w:rPr>
          <w:rFonts w:cstheme="minorHAnsi"/>
          <w:b/>
          <w:sz w:val="22"/>
          <w:szCs w:val="22"/>
          <w:u w:val="single"/>
        </w:rPr>
        <w:t>, 2</w:t>
      </w:r>
      <w:r w:rsidR="00CC2846">
        <w:rPr>
          <w:rFonts w:cstheme="minorHAnsi"/>
          <w:b/>
          <w:sz w:val="22"/>
          <w:szCs w:val="22"/>
          <w:u w:val="single"/>
        </w:rPr>
        <w:t>0</w:t>
      </w:r>
      <w:r w:rsidRPr="00AD47E8">
        <w:rPr>
          <w:rFonts w:cstheme="minorHAnsi"/>
          <w:b/>
          <w:sz w:val="22"/>
          <w:szCs w:val="22"/>
          <w:u w:val="single"/>
        </w:rPr>
        <w:t>)</w:t>
      </w:r>
    </w:p>
    <w:p w14:paraId="65E04F80" w14:textId="77777777" w:rsidR="008F74E9" w:rsidRPr="00570CFB" w:rsidRDefault="008F74E9" w:rsidP="008F74E9">
      <w:pPr>
        <w:ind w:left="1440" w:hanging="1440"/>
        <w:rPr>
          <w:rFonts w:cstheme="minorHAnsi"/>
          <w:b/>
          <w:sz w:val="22"/>
          <w:szCs w:val="22"/>
        </w:rPr>
      </w:pPr>
      <w:r w:rsidRPr="00570CFB">
        <w:rPr>
          <w:rFonts w:cstheme="minorHAnsi"/>
          <w:b/>
          <w:sz w:val="22"/>
          <w:szCs w:val="22"/>
        </w:rPr>
        <w:t>Problem:</w:t>
      </w:r>
    </w:p>
    <w:p w14:paraId="6956CA79" w14:textId="77777777" w:rsidR="008F74E9" w:rsidRDefault="008F74E9" w:rsidP="008F74E9">
      <w:pPr>
        <w:rPr>
          <w:rFonts w:cstheme="minorHAnsi"/>
          <w:sz w:val="22"/>
          <w:szCs w:val="22"/>
        </w:rPr>
      </w:pPr>
      <w:r w:rsidRPr="002F05DE">
        <w:rPr>
          <w:rFonts w:cstheme="minorHAnsi"/>
          <w:sz w:val="22"/>
          <w:szCs w:val="22"/>
        </w:rPr>
        <w:t>CEQA currently requires the litigating parties to engage in a mandatory settlement meeting within 45 days of service of a lawsuit on a public agency</w:t>
      </w:r>
      <w:r>
        <w:rPr>
          <w:rFonts w:cstheme="minorHAnsi"/>
          <w:sz w:val="22"/>
          <w:szCs w:val="22"/>
        </w:rPr>
        <w:t xml:space="preserve">, yet, </w:t>
      </w:r>
      <w:r w:rsidRPr="002F05DE">
        <w:rPr>
          <w:rFonts w:cstheme="minorHAnsi"/>
          <w:sz w:val="22"/>
          <w:szCs w:val="22"/>
        </w:rPr>
        <w:t>early settlement conferences typically do not bear fruit, as the parties, very early in cases, are typically not in the proper frames of mind for fashioning compromise solutions.</w:t>
      </w:r>
    </w:p>
    <w:p w14:paraId="41A27027" w14:textId="77777777" w:rsidR="008F74E9" w:rsidRPr="00570CFB" w:rsidRDefault="008F74E9" w:rsidP="008F74E9">
      <w:pPr>
        <w:rPr>
          <w:rFonts w:cstheme="minorHAnsi"/>
          <w:b/>
          <w:sz w:val="22"/>
          <w:szCs w:val="22"/>
        </w:rPr>
      </w:pPr>
      <w:r w:rsidRPr="00570CFB">
        <w:rPr>
          <w:rFonts w:cstheme="minorHAnsi"/>
          <w:b/>
          <w:sz w:val="22"/>
          <w:szCs w:val="22"/>
        </w:rPr>
        <w:t>Remedy:</w:t>
      </w:r>
    </w:p>
    <w:p w14:paraId="0FB56D1A" w14:textId="77777777" w:rsidR="008F74E9" w:rsidRPr="002F05DE" w:rsidRDefault="008F74E9" w:rsidP="008F74E9">
      <w:pPr>
        <w:rPr>
          <w:rFonts w:cstheme="minorHAnsi"/>
          <w:sz w:val="22"/>
          <w:szCs w:val="22"/>
        </w:rPr>
      </w:pPr>
      <w:r w:rsidRPr="00F64EA4">
        <w:rPr>
          <w:rFonts w:cstheme="minorHAnsi"/>
          <w:sz w:val="22"/>
          <w:szCs w:val="22"/>
        </w:rPr>
        <w:t>These amendments alter</w:t>
      </w:r>
      <w:r w:rsidRPr="002F05DE">
        <w:rPr>
          <w:rFonts w:cstheme="minorHAnsi"/>
          <w:sz w:val="22"/>
          <w:szCs w:val="22"/>
        </w:rPr>
        <w:t xml:space="preserve"> the nature of this conference by allowing it to occur by phone and just amongst the attorneys, and by allowing the participants to focus on logistical matters and the possibility that settlement discussions might be fruitful. This proposal would also create a second, subsequent full settlement meeting, where actual settlement issues must be discussed. This second meeting would occur no later than 45 days after the mandatory case management conference that would be created by </w:t>
      </w:r>
      <w:r>
        <w:rPr>
          <w:rFonts w:cstheme="minorHAnsi"/>
          <w:sz w:val="22"/>
          <w:szCs w:val="22"/>
        </w:rPr>
        <w:t>Goal</w:t>
      </w:r>
      <w:r w:rsidRPr="002F05DE">
        <w:rPr>
          <w:rFonts w:cstheme="minorHAnsi"/>
          <w:sz w:val="22"/>
          <w:szCs w:val="22"/>
        </w:rPr>
        <w:t xml:space="preserve"> 2</w:t>
      </w:r>
      <w:r>
        <w:rPr>
          <w:rFonts w:cstheme="minorHAnsi"/>
          <w:sz w:val="22"/>
          <w:szCs w:val="22"/>
        </w:rPr>
        <w:t xml:space="preserve"> amendments</w:t>
      </w:r>
      <w:r w:rsidRPr="002F05DE">
        <w:rPr>
          <w:rFonts w:cstheme="minorHAnsi"/>
          <w:sz w:val="22"/>
          <w:szCs w:val="22"/>
        </w:rPr>
        <w:t xml:space="preserve">. </w:t>
      </w:r>
    </w:p>
    <w:p w14:paraId="3E272542" w14:textId="77777777" w:rsidR="00532B2C" w:rsidRPr="008F74E9" w:rsidRDefault="008F74E9" w:rsidP="00BE2F9B">
      <w:pPr>
        <w:rPr>
          <w:rFonts w:cstheme="minorHAnsi"/>
          <w:sz w:val="22"/>
          <w:szCs w:val="22"/>
        </w:rPr>
      </w:pPr>
      <w:r w:rsidRPr="002F05DE">
        <w:rPr>
          <w:rFonts w:cstheme="minorHAnsi"/>
          <w:sz w:val="22"/>
          <w:szCs w:val="22"/>
        </w:rPr>
        <w:t xml:space="preserve">The odds of successful settlements should increase if settlement conversations are held later in the litigation, after a case management conference has helped the court to set a roadmap for litigation of the case, and after the parties have gained a better sense of the strengths and weaknesses of each other’s respective legal arguments. </w:t>
      </w:r>
    </w:p>
    <w:p w14:paraId="7ECD3242" w14:textId="77777777" w:rsidR="008F74E9" w:rsidRDefault="008F74E9" w:rsidP="00BE2F9B">
      <w:pPr>
        <w:rPr>
          <w:rFonts w:cstheme="minorHAnsi"/>
          <w:b/>
          <w:sz w:val="22"/>
          <w:szCs w:val="22"/>
          <w:u w:val="single"/>
        </w:rPr>
      </w:pPr>
    </w:p>
    <w:p w14:paraId="210E13A7" w14:textId="510FE84B" w:rsidR="00706368" w:rsidRDefault="0064699D" w:rsidP="00BE2F9B">
      <w:pPr>
        <w:rPr>
          <w:rFonts w:cstheme="minorHAnsi"/>
          <w:b/>
          <w:sz w:val="22"/>
          <w:szCs w:val="22"/>
          <w:highlight w:val="yellow"/>
          <w:u w:val="single"/>
        </w:rPr>
      </w:pPr>
      <w:r>
        <w:rPr>
          <w:rFonts w:cstheme="minorHAnsi"/>
          <w:b/>
          <w:sz w:val="22"/>
          <w:szCs w:val="22"/>
          <w:u w:val="single"/>
        </w:rPr>
        <w:t>Goal</w:t>
      </w:r>
      <w:r w:rsidR="00706368" w:rsidRPr="00797BB2">
        <w:rPr>
          <w:rFonts w:cstheme="minorHAnsi"/>
          <w:b/>
          <w:sz w:val="22"/>
          <w:szCs w:val="22"/>
          <w:u w:val="single"/>
        </w:rPr>
        <w:t xml:space="preserve"> </w:t>
      </w:r>
      <w:r w:rsidR="00AD47E8">
        <w:rPr>
          <w:rFonts w:cstheme="minorHAnsi"/>
          <w:b/>
          <w:sz w:val="22"/>
          <w:szCs w:val="22"/>
          <w:u w:val="single"/>
        </w:rPr>
        <w:t>5</w:t>
      </w:r>
      <w:r w:rsidR="00AC480F">
        <w:rPr>
          <w:rFonts w:cstheme="minorHAnsi"/>
          <w:b/>
          <w:sz w:val="22"/>
          <w:szCs w:val="22"/>
          <w:u w:val="single"/>
        </w:rPr>
        <w:t xml:space="preserve">: </w:t>
      </w:r>
      <w:r w:rsidR="004C39E0">
        <w:rPr>
          <w:rFonts w:cstheme="minorHAnsi"/>
          <w:b/>
          <w:sz w:val="22"/>
          <w:szCs w:val="22"/>
          <w:u w:val="single"/>
        </w:rPr>
        <w:t>Increase</w:t>
      </w:r>
      <w:r w:rsidR="001A1EF3">
        <w:rPr>
          <w:rFonts w:cstheme="minorHAnsi"/>
          <w:b/>
          <w:sz w:val="22"/>
          <w:szCs w:val="22"/>
          <w:u w:val="single"/>
        </w:rPr>
        <w:t>d</w:t>
      </w:r>
      <w:r w:rsidR="006058B7">
        <w:rPr>
          <w:rFonts w:cstheme="minorHAnsi"/>
          <w:b/>
          <w:sz w:val="22"/>
          <w:szCs w:val="22"/>
          <w:u w:val="single"/>
        </w:rPr>
        <w:t xml:space="preserve"> CEQA </w:t>
      </w:r>
      <w:r w:rsidR="004C39E0">
        <w:rPr>
          <w:rFonts w:cstheme="minorHAnsi"/>
          <w:b/>
          <w:sz w:val="22"/>
          <w:szCs w:val="22"/>
          <w:u w:val="single"/>
        </w:rPr>
        <w:t xml:space="preserve">Expertise </w:t>
      </w:r>
      <w:r w:rsidR="00797BB2" w:rsidRPr="00797BB2">
        <w:rPr>
          <w:rFonts w:cstheme="minorHAnsi"/>
          <w:b/>
          <w:sz w:val="22"/>
          <w:szCs w:val="22"/>
          <w:u w:val="single"/>
        </w:rPr>
        <w:t>(SEC. 1</w:t>
      </w:r>
      <w:r w:rsidR="00CC2846">
        <w:rPr>
          <w:rFonts w:cstheme="minorHAnsi"/>
          <w:b/>
          <w:sz w:val="22"/>
          <w:szCs w:val="22"/>
          <w:u w:val="single"/>
        </w:rPr>
        <w:t>5</w:t>
      </w:r>
      <w:r w:rsidR="00797BB2" w:rsidRPr="00797BB2">
        <w:rPr>
          <w:rFonts w:cstheme="minorHAnsi"/>
          <w:b/>
          <w:sz w:val="22"/>
          <w:szCs w:val="22"/>
          <w:u w:val="single"/>
        </w:rPr>
        <w:t>, 1</w:t>
      </w:r>
      <w:r w:rsidR="00CC2846">
        <w:rPr>
          <w:rFonts w:cstheme="minorHAnsi"/>
          <w:b/>
          <w:sz w:val="22"/>
          <w:szCs w:val="22"/>
          <w:u w:val="single"/>
        </w:rPr>
        <w:t>6</w:t>
      </w:r>
      <w:r w:rsidR="00797BB2" w:rsidRPr="00797BB2">
        <w:rPr>
          <w:rFonts w:cstheme="minorHAnsi"/>
          <w:b/>
          <w:sz w:val="22"/>
          <w:szCs w:val="22"/>
          <w:u w:val="single"/>
        </w:rPr>
        <w:t>)</w:t>
      </w:r>
      <w:r w:rsidR="00B77F2C">
        <w:rPr>
          <w:rFonts w:cstheme="minorHAnsi"/>
          <w:b/>
          <w:sz w:val="22"/>
          <w:szCs w:val="22"/>
          <w:u w:val="single"/>
        </w:rPr>
        <w:t xml:space="preserve">  </w:t>
      </w:r>
    </w:p>
    <w:p w14:paraId="3414A2F1" w14:textId="77777777" w:rsidR="0064699D" w:rsidRPr="00570CFB" w:rsidRDefault="0064699D" w:rsidP="00BE2F9B">
      <w:pPr>
        <w:rPr>
          <w:rFonts w:cstheme="minorHAnsi"/>
          <w:b/>
          <w:sz w:val="22"/>
          <w:szCs w:val="22"/>
        </w:rPr>
      </w:pPr>
      <w:r w:rsidRPr="00570CFB">
        <w:rPr>
          <w:rFonts w:cstheme="minorHAnsi"/>
          <w:b/>
          <w:sz w:val="22"/>
          <w:szCs w:val="22"/>
        </w:rPr>
        <w:t xml:space="preserve">Problem: </w:t>
      </w:r>
    </w:p>
    <w:p w14:paraId="16BBD703" w14:textId="5662A683" w:rsidR="0064699D" w:rsidRPr="0064699D" w:rsidRDefault="0064699D" w:rsidP="00BE2F9B">
      <w:pPr>
        <w:rPr>
          <w:rFonts w:cstheme="minorHAnsi"/>
          <w:sz w:val="22"/>
          <w:szCs w:val="22"/>
        </w:rPr>
      </w:pPr>
      <w:r w:rsidRPr="0064699D">
        <w:rPr>
          <w:rFonts w:cstheme="minorHAnsi"/>
          <w:sz w:val="22"/>
          <w:szCs w:val="22"/>
        </w:rPr>
        <w:t>The California judiciary</w:t>
      </w:r>
      <w:r w:rsidR="0082251B">
        <w:rPr>
          <w:rFonts w:cstheme="minorHAnsi"/>
          <w:sz w:val="22"/>
          <w:szCs w:val="22"/>
        </w:rPr>
        <w:t>,</w:t>
      </w:r>
      <w:r w:rsidR="0082251B" w:rsidRPr="0082251B">
        <w:rPr>
          <w:rFonts w:cstheme="minorHAnsi"/>
          <w:sz w:val="22"/>
          <w:szCs w:val="22"/>
        </w:rPr>
        <w:t xml:space="preserve"> </w:t>
      </w:r>
      <w:r w:rsidR="0082251B" w:rsidRPr="0064699D">
        <w:rPr>
          <w:rFonts w:cstheme="minorHAnsi"/>
          <w:sz w:val="22"/>
          <w:szCs w:val="22"/>
        </w:rPr>
        <w:t xml:space="preserve">particularly in rural areas, </w:t>
      </w:r>
      <w:r w:rsidR="0082251B">
        <w:rPr>
          <w:rFonts w:cstheme="minorHAnsi"/>
          <w:sz w:val="22"/>
          <w:szCs w:val="22"/>
        </w:rPr>
        <w:t xml:space="preserve">currently </w:t>
      </w:r>
      <w:r w:rsidRPr="0064699D">
        <w:rPr>
          <w:rFonts w:cstheme="minorHAnsi"/>
          <w:sz w:val="22"/>
          <w:szCs w:val="22"/>
        </w:rPr>
        <w:t xml:space="preserve">lacks </w:t>
      </w:r>
      <w:r w:rsidR="0082251B">
        <w:rPr>
          <w:rFonts w:cstheme="minorHAnsi"/>
          <w:sz w:val="22"/>
          <w:szCs w:val="22"/>
        </w:rPr>
        <w:t xml:space="preserve">sufficient </w:t>
      </w:r>
      <w:r w:rsidRPr="0064699D">
        <w:rPr>
          <w:rFonts w:cstheme="minorHAnsi"/>
          <w:sz w:val="22"/>
          <w:szCs w:val="22"/>
        </w:rPr>
        <w:t xml:space="preserve">capacity and expertise to ensure </w:t>
      </w:r>
      <w:r w:rsidR="0082251B">
        <w:rPr>
          <w:rFonts w:cstheme="minorHAnsi"/>
          <w:sz w:val="22"/>
          <w:szCs w:val="22"/>
        </w:rPr>
        <w:t xml:space="preserve">the </w:t>
      </w:r>
      <w:r w:rsidRPr="0064699D">
        <w:rPr>
          <w:rFonts w:cstheme="minorHAnsi"/>
          <w:sz w:val="22"/>
          <w:szCs w:val="22"/>
        </w:rPr>
        <w:t>qualified, expeditious and consistent application of the law</w:t>
      </w:r>
      <w:r w:rsidR="00532B2C">
        <w:rPr>
          <w:rFonts w:cstheme="minorHAnsi"/>
          <w:sz w:val="22"/>
          <w:szCs w:val="22"/>
        </w:rPr>
        <w:t xml:space="preserve">. </w:t>
      </w:r>
      <w:r w:rsidR="00532B2C" w:rsidRPr="002F05DE">
        <w:rPr>
          <w:rFonts w:cstheme="minorHAnsi"/>
          <w:sz w:val="22"/>
          <w:szCs w:val="22"/>
        </w:rPr>
        <w:t xml:space="preserve">Existing law </w:t>
      </w:r>
      <w:r w:rsidR="004C39E0">
        <w:rPr>
          <w:rFonts w:cstheme="minorHAnsi"/>
          <w:sz w:val="22"/>
          <w:szCs w:val="22"/>
        </w:rPr>
        <w:t xml:space="preserve">only </w:t>
      </w:r>
      <w:r w:rsidR="00532B2C" w:rsidRPr="002F05DE">
        <w:rPr>
          <w:rFonts w:cstheme="minorHAnsi"/>
          <w:sz w:val="22"/>
          <w:szCs w:val="22"/>
        </w:rPr>
        <w:t>requires counties with populations of over 200,000 persons to appoint CEQA judges</w:t>
      </w:r>
      <w:r w:rsidR="004C39E0">
        <w:rPr>
          <w:rFonts w:cstheme="minorHAnsi"/>
          <w:sz w:val="22"/>
          <w:szCs w:val="22"/>
        </w:rPr>
        <w:t>.</w:t>
      </w:r>
    </w:p>
    <w:p w14:paraId="3F34514D" w14:textId="77777777" w:rsidR="000928A4" w:rsidRPr="00570CFB" w:rsidRDefault="000928A4" w:rsidP="00BE2F9B">
      <w:pPr>
        <w:rPr>
          <w:rFonts w:cstheme="minorHAnsi"/>
          <w:b/>
          <w:sz w:val="22"/>
          <w:szCs w:val="22"/>
        </w:rPr>
      </w:pPr>
      <w:r w:rsidRPr="00570CFB">
        <w:rPr>
          <w:rFonts w:cstheme="minorHAnsi"/>
          <w:b/>
          <w:sz w:val="22"/>
          <w:szCs w:val="22"/>
        </w:rPr>
        <w:t>Remedy:</w:t>
      </w:r>
    </w:p>
    <w:p w14:paraId="4035F1C3" w14:textId="1E99B80E" w:rsidR="00706368" w:rsidRPr="002F05DE" w:rsidRDefault="00706368" w:rsidP="00BE2F9B">
      <w:pPr>
        <w:rPr>
          <w:rFonts w:cstheme="minorHAnsi"/>
          <w:sz w:val="22"/>
          <w:szCs w:val="22"/>
        </w:rPr>
      </w:pPr>
      <w:r w:rsidRPr="004C39E0">
        <w:rPr>
          <w:rFonts w:cstheme="minorHAnsi"/>
          <w:sz w:val="22"/>
          <w:szCs w:val="22"/>
        </w:rPr>
        <w:t>The</w:t>
      </w:r>
      <w:r w:rsidR="004E3D3B" w:rsidRPr="004C39E0">
        <w:rPr>
          <w:rFonts w:cstheme="minorHAnsi"/>
          <w:sz w:val="22"/>
          <w:szCs w:val="22"/>
        </w:rPr>
        <w:t>se amendments</w:t>
      </w:r>
      <w:r w:rsidRPr="002F05DE">
        <w:rPr>
          <w:rFonts w:cstheme="minorHAnsi"/>
          <w:sz w:val="22"/>
          <w:szCs w:val="22"/>
        </w:rPr>
        <w:t xml:space="preserve"> would</w:t>
      </w:r>
      <w:r w:rsidR="004B3BAD">
        <w:rPr>
          <w:rFonts w:cstheme="minorHAnsi"/>
          <w:sz w:val="22"/>
          <w:szCs w:val="22"/>
        </w:rPr>
        <w:t xml:space="preserve"> </w:t>
      </w:r>
      <w:r w:rsidRPr="002F05DE">
        <w:rPr>
          <w:rFonts w:cstheme="minorHAnsi"/>
          <w:sz w:val="22"/>
          <w:szCs w:val="22"/>
        </w:rPr>
        <w:t>encourag</w:t>
      </w:r>
      <w:r w:rsidR="004B3BAD">
        <w:rPr>
          <w:rFonts w:cstheme="minorHAnsi"/>
          <w:sz w:val="22"/>
          <w:szCs w:val="22"/>
        </w:rPr>
        <w:t>e</w:t>
      </w:r>
      <w:r w:rsidRPr="002F05DE">
        <w:rPr>
          <w:rFonts w:cstheme="minorHAnsi"/>
          <w:sz w:val="22"/>
          <w:szCs w:val="22"/>
        </w:rPr>
        <w:t xml:space="preserve"> the leadership in superior courts to extend the normal terms of CEQA judges in order to faci</w:t>
      </w:r>
      <w:r w:rsidR="007E49E6">
        <w:rPr>
          <w:rFonts w:cstheme="minorHAnsi"/>
          <w:sz w:val="22"/>
          <w:szCs w:val="22"/>
        </w:rPr>
        <w:t>litate the accumulation of ever-</w:t>
      </w:r>
      <w:r w:rsidRPr="002F05DE">
        <w:rPr>
          <w:rFonts w:cstheme="minorHAnsi"/>
          <w:sz w:val="22"/>
          <w:szCs w:val="22"/>
        </w:rPr>
        <w:t>greater levels of CEQA expertise amongst such jurists</w:t>
      </w:r>
      <w:r w:rsidR="004C39E0">
        <w:rPr>
          <w:rFonts w:cstheme="minorHAnsi"/>
          <w:sz w:val="22"/>
          <w:szCs w:val="22"/>
        </w:rPr>
        <w:t xml:space="preserve"> over</w:t>
      </w:r>
      <w:r w:rsidR="0082251B">
        <w:rPr>
          <w:rFonts w:cstheme="minorHAnsi"/>
          <w:sz w:val="22"/>
          <w:szCs w:val="22"/>
        </w:rPr>
        <w:t xml:space="preserve"> </w:t>
      </w:r>
      <w:r w:rsidR="004C39E0">
        <w:rPr>
          <w:rFonts w:cstheme="minorHAnsi"/>
          <w:sz w:val="22"/>
          <w:szCs w:val="22"/>
        </w:rPr>
        <w:t>time</w:t>
      </w:r>
      <w:r w:rsidRPr="002F05DE">
        <w:rPr>
          <w:rFonts w:cstheme="minorHAnsi"/>
          <w:sz w:val="22"/>
          <w:szCs w:val="22"/>
        </w:rPr>
        <w:t xml:space="preserve">.  In order to ascertain how well the current system of CEQA judges is working and how it might be improved, the Judicial Council will be required to undertake a study and to formulate recommendations for how, if necessary, to expand the number of CEQA judges and to facilitate the transfer of complex CEQA cases from non-CEQA judges to experienced CEQA judges. Where a complex CEQA case is filed in a county without CEQA judges, any party would have the right to make a motion to transfer the case to a county with a CEQA judge or to have the Judicial Council appoint a CEQA judge </w:t>
      </w:r>
      <w:r w:rsidR="004C39E0">
        <w:rPr>
          <w:rFonts w:cstheme="minorHAnsi"/>
          <w:sz w:val="22"/>
          <w:szCs w:val="22"/>
        </w:rPr>
        <w:t xml:space="preserve">to </w:t>
      </w:r>
      <w:r w:rsidRPr="002F05DE">
        <w:rPr>
          <w:rFonts w:cstheme="minorHAnsi"/>
          <w:sz w:val="22"/>
          <w:szCs w:val="22"/>
        </w:rPr>
        <w:t>hear</w:t>
      </w:r>
      <w:r w:rsidR="007A0E3B">
        <w:rPr>
          <w:rFonts w:cstheme="minorHAnsi"/>
          <w:sz w:val="22"/>
          <w:szCs w:val="22"/>
        </w:rPr>
        <w:t xml:space="preserve"> </w:t>
      </w:r>
      <w:r w:rsidRPr="002F05DE">
        <w:rPr>
          <w:rFonts w:cstheme="minorHAnsi"/>
          <w:sz w:val="22"/>
          <w:szCs w:val="22"/>
        </w:rPr>
        <w:t>the case in</w:t>
      </w:r>
      <w:r w:rsidR="007A0E3B">
        <w:rPr>
          <w:rFonts w:cstheme="minorHAnsi"/>
          <w:sz w:val="22"/>
          <w:szCs w:val="22"/>
        </w:rPr>
        <w:t xml:space="preserve"> the locale</w:t>
      </w:r>
      <w:r w:rsidRPr="002F05DE">
        <w:rPr>
          <w:rFonts w:cstheme="minorHAnsi"/>
          <w:sz w:val="22"/>
          <w:szCs w:val="22"/>
        </w:rPr>
        <w:t xml:space="preserve"> the matter was originally filed. A court could also bring about such a result on its own initiative. </w:t>
      </w:r>
      <w:r w:rsidR="0082251B">
        <w:rPr>
          <w:rFonts w:cstheme="minorHAnsi"/>
          <w:sz w:val="22"/>
          <w:szCs w:val="22"/>
        </w:rPr>
        <w:t xml:space="preserve">Any party’s objection to such a transfer will have to be considered, however. </w:t>
      </w:r>
    </w:p>
    <w:p w14:paraId="70889603" w14:textId="77777777" w:rsidR="00BE2F9B" w:rsidRDefault="00BE2F9B" w:rsidP="00BE2F9B">
      <w:pPr>
        <w:rPr>
          <w:rFonts w:cstheme="minorHAnsi"/>
          <w:b/>
          <w:sz w:val="22"/>
          <w:szCs w:val="22"/>
        </w:rPr>
      </w:pPr>
    </w:p>
    <w:p w14:paraId="42EFD891" w14:textId="77777777" w:rsidR="00AD47E8" w:rsidRDefault="00AD47E8" w:rsidP="00BE2F9B">
      <w:pPr>
        <w:rPr>
          <w:rFonts w:cstheme="minorHAnsi"/>
          <w:b/>
          <w:sz w:val="22"/>
          <w:szCs w:val="22"/>
        </w:rPr>
      </w:pPr>
    </w:p>
    <w:p w14:paraId="065406AD" w14:textId="77777777" w:rsidR="00AD47E8" w:rsidRDefault="00AD47E8" w:rsidP="00BE2F9B">
      <w:pPr>
        <w:rPr>
          <w:rFonts w:cstheme="minorHAnsi"/>
          <w:b/>
          <w:sz w:val="22"/>
          <w:szCs w:val="22"/>
        </w:rPr>
      </w:pPr>
    </w:p>
    <w:p w14:paraId="6090BFB6" w14:textId="50E78391" w:rsidR="00706368" w:rsidRPr="00797BB2" w:rsidRDefault="00570CFB" w:rsidP="00BE2F9B">
      <w:pPr>
        <w:rPr>
          <w:rFonts w:cstheme="minorHAnsi"/>
          <w:b/>
          <w:sz w:val="22"/>
          <w:szCs w:val="22"/>
          <w:u w:val="single"/>
        </w:rPr>
      </w:pPr>
      <w:r>
        <w:rPr>
          <w:rFonts w:cstheme="minorHAnsi"/>
          <w:b/>
          <w:sz w:val="22"/>
          <w:szCs w:val="22"/>
          <w:u w:val="single"/>
        </w:rPr>
        <w:t>Goal</w:t>
      </w:r>
      <w:r w:rsidR="00706368" w:rsidRPr="00797BB2">
        <w:rPr>
          <w:rFonts w:cstheme="minorHAnsi"/>
          <w:b/>
          <w:sz w:val="22"/>
          <w:szCs w:val="22"/>
          <w:u w:val="single"/>
        </w:rPr>
        <w:t xml:space="preserve"> </w:t>
      </w:r>
      <w:r w:rsidR="00AD47E8">
        <w:rPr>
          <w:rFonts w:cstheme="minorHAnsi"/>
          <w:b/>
          <w:sz w:val="22"/>
          <w:szCs w:val="22"/>
          <w:u w:val="single"/>
        </w:rPr>
        <w:t>6</w:t>
      </w:r>
      <w:r w:rsidR="00BE2F9B" w:rsidRPr="00797BB2">
        <w:rPr>
          <w:rFonts w:cstheme="minorHAnsi"/>
          <w:b/>
          <w:sz w:val="22"/>
          <w:szCs w:val="22"/>
          <w:u w:val="single"/>
        </w:rPr>
        <w:t>: Final EIR Comment</w:t>
      </w:r>
      <w:r w:rsidR="00CE0562">
        <w:rPr>
          <w:rFonts w:cstheme="minorHAnsi"/>
          <w:b/>
          <w:sz w:val="22"/>
          <w:szCs w:val="22"/>
          <w:u w:val="single"/>
        </w:rPr>
        <w:t>s</w:t>
      </w:r>
      <w:r w:rsidR="00AC480F">
        <w:rPr>
          <w:rFonts w:cstheme="minorHAnsi"/>
          <w:b/>
          <w:sz w:val="22"/>
          <w:szCs w:val="22"/>
          <w:u w:val="single"/>
        </w:rPr>
        <w:t xml:space="preserve"> </w:t>
      </w:r>
      <w:r w:rsidR="00797BB2" w:rsidRPr="00797BB2">
        <w:rPr>
          <w:rFonts w:cstheme="minorHAnsi"/>
          <w:b/>
          <w:sz w:val="22"/>
          <w:szCs w:val="22"/>
          <w:u w:val="single"/>
        </w:rPr>
        <w:t>(SEC. 1</w:t>
      </w:r>
      <w:r w:rsidR="00CC2846">
        <w:rPr>
          <w:rFonts w:cstheme="minorHAnsi"/>
          <w:b/>
          <w:sz w:val="22"/>
          <w:szCs w:val="22"/>
          <w:u w:val="single"/>
        </w:rPr>
        <w:t>3</w:t>
      </w:r>
      <w:r w:rsidR="00797BB2" w:rsidRPr="00797BB2">
        <w:rPr>
          <w:rFonts w:cstheme="minorHAnsi"/>
          <w:b/>
          <w:sz w:val="22"/>
          <w:szCs w:val="22"/>
          <w:u w:val="single"/>
        </w:rPr>
        <w:t>, 2</w:t>
      </w:r>
      <w:r w:rsidR="00CC2846">
        <w:rPr>
          <w:rFonts w:cstheme="minorHAnsi"/>
          <w:b/>
          <w:sz w:val="22"/>
          <w:szCs w:val="22"/>
          <w:u w:val="single"/>
        </w:rPr>
        <w:t>3</w:t>
      </w:r>
      <w:r w:rsidR="00797BB2" w:rsidRPr="00797BB2">
        <w:rPr>
          <w:rFonts w:cstheme="minorHAnsi"/>
          <w:b/>
          <w:sz w:val="22"/>
          <w:szCs w:val="22"/>
          <w:u w:val="single"/>
        </w:rPr>
        <w:t>)</w:t>
      </w:r>
    </w:p>
    <w:p w14:paraId="2C17910B" w14:textId="77777777" w:rsidR="008E4E82" w:rsidRDefault="00570CFB" w:rsidP="00BE2F9B">
      <w:pPr>
        <w:rPr>
          <w:sz w:val="20"/>
        </w:rPr>
      </w:pPr>
      <w:r>
        <w:rPr>
          <w:rFonts w:eastAsia="Times New Roman" w:cstheme="minorHAnsi"/>
          <w:b/>
          <w:bCs/>
          <w:color w:val="000000"/>
          <w:sz w:val="22"/>
          <w:szCs w:val="22"/>
        </w:rPr>
        <w:t>Problem:</w:t>
      </w:r>
      <w:r w:rsidR="008E4E82" w:rsidRPr="008E4E82">
        <w:rPr>
          <w:sz w:val="20"/>
        </w:rPr>
        <w:t xml:space="preserve"> </w:t>
      </w:r>
    </w:p>
    <w:p w14:paraId="1F242A5D" w14:textId="77777777" w:rsidR="00570CFB" w:rsidRPr="008E4E82" w:rsidRDefault="008E4E82" w:rsidP="00BE2F9B">
      <w:pPr>
        <w:rPr>
          <w:rFonts w:eastAsia="Times New Roman" w:cstheme="minorHAnsi"/>
          <w:b/>
          <w:bCs/>
          <w:color w:val="000000"/>
          <w:sz w:val="22"/>
          <w:szCs w:val="22"/>
        </w:rPr>
      </w:pPr>
      <w:r w:rsidRPr="008E4E82">
        <w:rPr>
          <w:sz w:val="22"/>
          <w:szCs w:val="22"/>
        </w:rPr>
        <w:t xml:space="preserve">Under existing law, a </w:t>
      </w:r>
      <w:r w:rsidR="004E3D3B">
        <w:rPr>
          <w:sz w:val="22"/>
          <w:szCs w:val="22"/>
        </w:rPr>
        <w:t>l</w:t>
      </w:r>
      <w:r w:rsidRPr="008E4E82">
        <w:rPr>
          <w:sz w:val="22"/>
          <w:szCs w:val="22"/>
        </w:rPr>
        <w:t>ead agency must provide written responses to timely agency comments, typically in the form of a Final EIR, only ten days before EIR certification, and project opponents and others can raise new legal issues as late as during the public hearing on the project.</w:t>
      </w:r>
      <w:r>
        <w:rPr>
          <w:rFonts w:eastAsia="Times New Roman" w:cstheme="minorHAnsi"/>
          <w:b/>
          <w:bCs/>
          <w:color w:val="000000"/>
          <w:sz w:val="22"/>
          <w:szCs w:val="22"/>
        </w:rPr>
        <w:t xml:space="preserve"> </w:t>
      </w:r>
      <w:r>
        <w:rPr>
          <w:rFonts w:eastAsia="Times New Roman" w:cstheme="minorHAnsi"/>
          <w:color w:val="000000"/>
          <w:sz w:val="22"/>
          <w:szCs w:val="22"/>
        </w:rPr>
        <w:t xml:space="preserve">Under this quick timeline, </w:t>
      </w:r>
      <w:r w:rsidR="00706368" w:rsidRPr="002F05DE">
        <w:rPr>
          <w:rFonts w:eastAsia="Times New Roman" w:cstheme="minorHAnsi"/>
          <w:color w:val="000000"/>
          <w:sz w:val="22"/>
          <w:szCs w:val="22"/>
        </w:rPr>
        <w:t xml:space="preserve">agencies </w:t>
      </w:r>
      <w:r w:rsidR="007A0E3B">
        <w:rPr>
          <w:rFonts w:eastAsia="Times New Roman" w:cstheme="minorHAnsi"/>
          <w:color w:val="000000"/>
          <w:sz w:val="22"/>
          <w:szCs w:val="22"/>
        </w:rPr>
        <w:t xml:space="preserve">can </w:t>
      </w:r>
      <w:r w:rsidR="00706368" w:rsidRPr="002F05DE">
        <w:rPr>
          <w:rFonts w:eastAsia="Times New Roman" w:cstheme="minorHAnsi"/>
          <w:color w:val="000000"/>
          <w:sz w:val="22"/>
          <w:szCs w:val="22"/>
        </w:rPr>
        <w:t xml:space="preserve">receive extensive written comments on final environmental impact reports (FEIR) on the day of, or shortly before, a hearing on the certification of the FEIR and approval of a project which are difficult for agency staff to review.  </w:t>
      </w:r>
    </w:p>
    <w:p w14:paraId="497A03AE" w14:textId="77777777" w:rsidR="00570CFB" w:rsidRPr="00570CFB" w:rsidRDefault="00570CFB" w:rsidP="00BE2F9B">
      <w:pPr>
        <w:rPr>
          <w:rFonts w:eastAsia="Times New Roman" w:cstheme="minorHAnsi"/>
          <w:b/>
          <w:color w:val="000000"/>
          <w:sz w:val="22"/>
          <w:szCs w:val="22"/>
        </w:rPr>
      </w:pPr>
      <w:r w:rsidRPr="00570CFB">
        <w:rPr>
          <w:rFonts w:eastAsia="Times New Roman" w:cstheme="minorHAnsi"/>
          <w:b/>
          <w:color w:val="000000"/>
          <w:sz w:val="22"/>
          <w:szCs w:val="22"/>
        </w:rPr>
        <w:t>Remedy:</w:t>
      </w:r>
    </w:p>
    <w:p w14:paraId="68EC1881" w14:textId="150DD5E8" w:rsidR="00706368" w:rsidRPr="002F05DE" w:rsidRDefault="00706368" w:rsidP="00BE2F9B">
      <w:pPr>
        <w:rPr>
          <w:rFonts w:eastAsia="Times New Roman" w:cstheme="minorHAnsi"/>
          <w:color w:val="000000"/>
          <w:sz w:val="22"/>
          <w:szCs w:val="22"/>
        </w:rPr>
      </w:pPr>
      <w:r w:rsidRPr="002F05DE">
        <w:rPr>
          <w:rFonts w:eastAsia="Times New Roman" w:cstheme="minorHAnsi"/>
          <w:color w:val="000000"/>
          <w:sz w:val="22"/>
          <w:szCs w:val="22"/>
        </w:rPr>
        <w:t>In order to provide a process for ensuring comments are submitted with enough time for public agency staff to review them before a hearing, while still ensuring sufficient time for the public to review and comment on FEIRs</w:t>
      </w:r>
      <w:r w:rsidRPr="00E073FA">
        <w:rPr>
          <w:rFonts w:eastAsia="Times New Roman" w:cstheme="minorHAnsi"/>
          <w:color w:val="000000"/>
          <w:sz w:val="22"/>
          <w:szCs w:val="22"/>
        </w:rPr>
        <w:t>, th</w:t>
      </w:r>
      <w:r w:rsidR="004E3D3B" w:rsidRPr="00E073FA">
        <w:rPr>
          <w:rFonts w:eastAsia="Times New Roman" w:cstheme="minorHAnsi"/>
          <w:color w:val="000000"/>
          <w:sz w:val="22"/>
          <w:szCs w:val="22"/>
        </w:rPr>
        <w:t>is legislation</w:t>
      </w:r>
      <w:r w:rsidRPr="00E073FA">
        <w:rPr>
          <w:rFonts w:eastAsia="Times New Roman" w:cstheme="minorHAnsi"/>
          <w:color w:val="000000"/>
          <w:sz w:val="22"/>
          <w:szCs w:val="22"/>
        </w:rPr>
        <w:t xml:space="preserve"> provides</w:t>
      </w:r>
      <w:r w:rsidRPr="002F05DE">
        <w:rPr>
          <w:rFonts w:eastAsia="Times New Roman" w:cstheme="minorHAnsi"/>
          <w:color w:val="000000"/>
          <w:sz w:val="22"/>
          <w:szCs w:val="22"/>
        </w:rPr>
        <w:t xml:space="preserve"> an optional </w:t>
      </w:r>
      <w:r w:rsidR="00E073FA">
        <w:rPr>
          <w:rFonts w:eastAsia="Times New Roman" w:cstheme="minorHAnsi"/>
          <w:color w:val="000000"/>
          <w:sz w:val="22"/>
          <w:szCs w:val="22"/>
        </w:rPr>
        <w:t xml:space="preserve">alternative </w:t>
      </w:r>
      <w:r w:rsidRPr="002F05DE">
        <w:rPr>
          <w:rFonts w:eastAsia="Times New Roman" w:cstheme="minorHAnsi"/>
          <w:color w:val="000000"/>
          <w:sz w:val="22"/>
          <w:szCs w:val="22"/>
        </w:rPr>
        <w:t>process whereby FEIRs are released for public review at least 30 days before a hearing on project approval, and written comments on those FEIRs must be submitted at least 10 days before the final hearing. Verbal comments will continue to be accepted at any time prior to the close of the public hearing.</w:t>
      </w:r>
    </w:p>
    <w:p w14:paraId="53D12290" w14:textId="77777777" w:rsidR="00AD47E8" w:rsidRDefault="00AD47E8" w:rsidP="00BE2F9B">
      <w:pPr>
        <w:rPr>
          <w:rFonts w:cstheme="minorHAnsi"/>
          <w:sz w:val="22"/>
          <w:szCs w:val="22"/>
        </w:rPr>
      </w:pPr>
    </w:p>
    <w:p w14:paraId="1927C934" w14:textId="11989370" w:rsidR="00706368" w:rsidRDefault="000D3206" w:rsidP="00BE2F9B">
      <w:pPr>
        <w:rPr>
          <w:rFonts w:cstheme="minorHAnsi"/>
          <w:b/>
          <w:bCs/>
          <w:sz w:val="22"/>
          <w:szCs w:val="22"/>
          <w:u w:val="single"/>
        </w:rPr>
      </w:pPr>
      <w:r>
        <w:rPr>
          <w:rFonts w:cstheme="minorHAnsi"/>
          <w:b/>
          <w:bCs/>
          <w:sz w:val="22"/>
          <w:szCs w:val="22"/>
          <w:u w:val="single"/>
        </w:rPr>
        <w:t>Goal</w:t>
      </w:r>
      <w:r w:rsidR="00706368" w:rsidRPr="00797BB2">
        <w:rPr>
          <w:rFonts w:cstheme="minorHAnsi"/>
          <w:b/>
          <w:bCs/>
          <w:sz w:val="22"/>
          <w:szCs w:val="22"/>
          <w:u w:val="single"/>
        </w:rPr>
        <w:t xml:space="preserve"> </w:t>
      </w:r>
      <w:r w:rsidR="00CC2846">
        <w:rPr>
          <w:rFonts w:cstheme="minorHAnsi"/>
          <w:b/>
          <w:bCs/>
          <w:sz w:val="22"/>
          <w:szCs w:val="22"/>
          <w:u w:val="single"/>
        </w:rPr>
        <w:t>7</w:t>
      </w:r>
      <w:r w:rsidR="00BE2F9B" w:rsidRPr="00797BB2">
        <w:rPr>
          <w:rFonts w:cstheme="minorHAnsi"/>
          <w:b/>
          <w:bCs/>
          <w:sz w:val="22"/>
          <w:szCs w:val="22"/>
          <w:u w:val="single"/>
        </w:rPr>
        <w:t xml:space="preserve">: </w:t>
      </w:r>
      <w:r w:rsidR="00706368" w:rsidRPr="00797BB2">
        <w:rPr>
          <w:rFonts w:cstheme="minorHAnsi"/>
          <w:b/>
          <w:bCs/>
          <w:sz w:val="22"/>
          <w:szCs w:val="22"/>
          <w:u w:val="single"/>
        </w:rPr>
        <w:t xml:space="preserve">Tuolumne </w:t>
      </w:r>
      <w:r w:rsidR="00BE2F9B" w:rsidRPr="00797BB2">
        <w:rPr>
          <w:rFonts w:cstheme="minorHAnsi"/>
          <w:b/>
          <w:bCs/>
          <w:sz w:val="22"/>
          <w:szCs w:val="22"/>
          <w:u w:val="single"/>
        </w:rPr>
        <w:t>Jobs</w:t>
      </w:r>
      <w:r w:rsidR="00797BB2" w:rsidRPr="00797BB2">
        <w:rPr>
          <w:rFonts w:cstheme="minorHAnsi"/>
          <w:b/>
          <w:bCs/>
          <w:sz w:val="22"/>
          <w:szCs w:val="22"/>
          <w:u w:val="single"/>
        </w:rPr>
        <w:t xml:space="preserve"> </w:t>
      </w:r>
      <w:r w:rsidR="007E49E6">
        <w:rPr>
          <w:rFonts w:cstheme="minorHAnsi"/>
          <w:b/>
          <w:bCs/>
          <w:sz w:val="22"/>
          <w:szCs w:val="22"/>
          <w:u w:val="single"/>
        </w:rPr>
        <w:t>Fix</w:t>
      </w:r>
      <w:r w:rsidR="00AC480F">
        <w:rPr>
          <w:rFonts w:cstheme="minorHAnsi"/>
          <w:b/>
          <w:bCs/>
          <w:sz w:val="22"/>
          <w:szCs w:val="22"/>
          <w:u w:val="single"/>
        </w:rPr>
        <w:t xml:space="preserve"> </w:t>
      </w:r>
      <w:r w:rsidR="00797BB2" w:rsidRPr="00797BB2">
        <w:rPr>
          <w:rFonts w:cstheme="minorHAnsi"/>
          <w:b/>
          <w:bCs/>
          <w:sz w:val="22"/>
          <w:szCs w:val="22"/>
          <w:u w:val="single"/>
        </w:rPr>
        <w:t>(SEC</w:t>
      </w:r>
      <w:r w:rsidR="00797BB2" w:rsidRPr="000E3AAC">
        <w:rPr>
          <w:rFonts w:cstheme="minorHAnsi"/>
          <w:b/>
          <w:bCs/>
          <w:sz w:val="22"/>
          <w:szCs w:val="22"/>
          <w:u w:val="single"/>
        </w:rPr>
        <w:t xml:space="preserve">. </w:t>
      </w:r>
      <w:r w:rsidR="00CC2846">
        <w:rPr>
          <w:rFonts w:cstheme="minorHAnsi"/>
          <w:b/>
          <w:bCs/>
          <w:sz w:val="22"/>
          <w:szCs w:val="22"/>
          <w:u w:val="single"/>
        </w:rPr>
        <w:t>2</w:t>
      </w:r>
      <w:r w:rsidR="00797BB2" w:rsidRPr="000E3AAC">
        <w:rPr>
          <w:rFonts w:cstheme="minorHAnsi"/>
          <w:b/>
          <w:bCs/>
          <w:sz w:val="22"/>
          <w:szCs w:val="22"/>
          <w:u w:val="single"/>
        </w:rPr>
        <w:t xml:space="preserve">, </w:t>
      </w:r>
      <w:r w:rsidR="00CC2846">
        <w:rPr>
          <w:rFonts w:cstheme="minorHAnsi"/>
          <w:b/>
          <w:bCs/>
          <w:sz w:val="22"/>
          <w:szCs w:val="22"/>
          <w:u w:val="single"/>
        </w:rPr>
        <w:t>3</w:t>
      </w:r>
      <w:r w:rsidR="00A4049D" w:rsidRPr="000E3AAC">
        <w:rPr>
          <w:rFonts w:cstheme="minorHAnsi"/>
          <w:b/>
          <w:bCs/>
          <w:sz w:val="22"/>
          <w:szCs w:val="22"/>
          <w:u w:val="single"/>
        </w:rPr>
        <w:t xml:space="preserve">, </w:t>
      </w:r>
      <w:r w:rsidR="00CC2846">
        <w:rPr>
          <w:rFonts w:cstheme="minorHAnsi"/>
          <w:b/>
          <w:bCs/>
          <w:sz w:val="22"/>
          <w:szCs w:val="22"/>
          <w:u w:val="single"/>
        </w:rPr>
        <w:t>4</w:t>
      </w:r>
      <w:r w:rsidR="00797BB2" w:rsidRPr="000E3AAC">
        <w:rPr>
          <w:rFonts w:cstheme="minorHAnsi"/>
          <w:b/>
          <w:bCs/>
          <w:sz w:val="22"/>
          <w:szCs w:val="22"/>
          <w:u w:val="single"/>
        </w:rPr>
        <w:t>)</w:t>
      </w:r>
    </w:p>
    <w:p w14:paraId="265E9008" w14:textId="77777777" w:rsidR="00CB5777" w:rsidRDefault="00CB5777" w:rsidP="00BE2F9B">
      <w:pPr>
        <w:rPr>
          <w:rFonts w:cstheme="minorHAnsi"/>
          <w:b/>
          <w:bCs/>
          <w:sz w:val="22"/>
          <w:szCs w:val="22"/>
        </w:rPr>
      </w:pPr>
      <w:r w:rsidRPr="00CB5777">
        <w:rPr>
          <w:rFonts w:cstheme="minorHAnsi"/>
          <w:b/>
          <w:bCs/>
          <w:sz w:val="22"/>
          <w:szCs w:val="22"/>
        </w:rPr>
        <w:t>Problem:</w:t>
      </w:r>
      <w:r>
        <w:rPr>
          <w:rFonts w:cstheme="minorHAnsi"/>
          <w:b/>
          <w:bCs/>
          <w:sz w:val="22"/>
          <w:szCs w:val="22"/>
        </w:rPr>
        <w:t xml:space="preserve"> </w:t>
      </w:r>
    </w:p>
    <w:p w14:paraId="14C848F8" w14:textId="0F2726D7" w:rsidR="00CB5777" w:rsidRPr="00804668" w:rsidRDefault="00CB5777" w:rsidP="00BE2F9B">
      <w:pPr>
        <w:rPr>
          <w:rFonts w:cstheme="minorHAnsi"/>
          <w:bCs/>
          <w:sz w:val="22"/>
          <w:szCs w:val="22"/>
        </w:rPr>
      </w:pPr>
      <w:r w:rsidRPr="00804668">
        <w:rPr>
          <w:rFonts w:cstheme="minorHAnsi"/>
          <w:bCs/>
          <w:sz w:val="22"/>
          <w:szCs w:val="22"/>
        </w:rPr>
        <w:t xml:space="preserve">Precedent established by “Tuolumne Jobs and Small Business Alliance vs. The Superior Court of Tuolumne County” interprets current law </w:t>
      </w:r>
      <w:r w:rsidR="0082251B">
        <w:rPr>
          <w:rFonts w:cstheme="minorHAnsi"/>
          <w:bCs/>
          <w:sz w:val="22"/>
          <w:szCs w:val="22"/>
        </w:rPr>
        <w:t xml:space="preserve">under the Elections Code </w:t>
      </w:r>
      <w:r w:rsidRPr="00804668">
        <w:rPr>
          <w:rFonts w:cstheme="minorHAnsi"/>
          <w:bCs/>
          <w:sz w:val="22"/>
          <w:szCs w:val="22"/>
        </w:rPr>
        <w:t>to allow a legislative body to directly-approve a project</w:t>
      </w:r>
      <w:r w:rsidR="00804668" w:rsidRPr="00804668">
        <w:rPr>
          <w:rFonts w:cstheme="minorHAnsi"/>
          <w:bCs/>
          <w:sz w:val="22"/>
          <w:szCs w:val="22"/>
        </w:rPr>
        <w:t xml:space="preserve"> proposed by a qualified voter-sponsored initiative without CEQA review.</w:t>
      </w:r>
    </w:p>
    <w:p w14:paraId="62A3FF33" w14:textId="77777777" w:rsidR="00804668" w:rsidRPr="00804668" w:rsidRDefault="00804668" w:rsidP="00BE2F9B">
      <w:pPr>
        <w:rPr>
          <w:rStyle w:val="m-5247892291573324723bumpedfont15"/>
          <w:rFonts w:cstheme="minorHAnsi"/>
          <w:b/>
          <w:sz w:val="22"/>
          <w:szCs w:val="22"/>
        </w:rPr>
      </w:pPr>
      <w:r w:rsidRPr="00804668">
        <w:rPr>
          <w:rStyle w:val="m-5247892291573324723bumpedfont15"/>
          <w:rFonts w:cstheme="minorHAnsi"/>
          <w:b/>
          <w:sz w:val="22"/>
          <w:szCs w:val="22"/>
        </w:rPr>
        <w:t>Remedy:</w:t>
      </w:r>
    </w:p>
    <w:p w14:paraId="48822EB4" w14:textId="4ED3EEC9" w:rsidR="00AC480F" w:rsidRDefault="004E3D3B" w:rsidP="00BE2F9B">
      <w:pPr>
        <w:rPr>
          <w:rStyle w:val="m-5247892291573324723bumpedfont15"/>
          <w:rFonts w:cstheme="minorHAnsi"/>
          <w:sz w:val="22"/>
          <w:szCs w:val="22"/>
          <w:highlight w:val="yellow"/>
        </w:rPr>
      </w:pPr>
      <w:r>
        <w:rPr>
          <w:rStyle w:val="m-5247892291573324723bumpedfont15"/>
          <w:rFonts w:cstheme="minorHAnsi"/>
          <w:sz w:val="22"/>
          <w:szCs w:val="22"/>
        </w:rPr>
        <w:t>This a</w:t>
      </w:r>
      <w:r w:rsidR="00706368" w:rsidRPr="002F05DE">
        <w:rPr>
          <w:rStyle w:val="m-5247892291573324723bumpedfont15"/>
          <w:rFonts w:cstheme="minorHAnsi"/>
          <w:sz w:val="22"/>
          <w:szCs w:val="22"/>
        </w:rPr>
        <w:t>mend</w:t>
      </w:r>
      <w:r>
        <w:rPr>
          <w:rStyle w:val="m-5247892291573324723bumpedfont15"/>
          <w:rFonts w:cstheme="minorHAnsi"/>
          <w:sz w:val="22"/>
          <w:szCs w:val="22"/>
        </w:rPr>
        <w:t xml:space="preserve">ment </w:t>
      </w:r>
      <w:r w:rsidR="0082251B">
        <w:rPr>
          <w:rStyle w:val="m-5247892291573324723bumpedfont15"/>
          <w:rFonts w:cstheme="minorHAnsi"/>
          <w:sz w:val="22"/>
          <w:szCs w:val="22"/>
        </w:rPr>
        <w:t xml:space="preserve">changes the Elections Code to provide </w:t>
      </w:r>
      <w:r w:rsidR="00706368" w:rsidRPr="002F05DE">
        <w:rPr>
          <w:rStyle w:val="m-5247892291573324723bumpedfont15"/>
          <w:rFonts w:cstheme="minorHAnsi"/>
          <w:sz w:val="22"/>
          <w:szCs w:val="22"/>
        </w:rPr>
        <w:t>that voter-sponsored initiative measures</w:t>
      </w:r>
      <w:r>
        <w:rPr>
          <w:rStyle w:val="m-5247892291573324723bumpedfont15"/>
          <w:rFonts w:cstheme="minorHAnsi"/>
          <w:sz w:val="22"/>
          <w:szCs w:val="22"/>
        </w:rPr>
        <w:t xml:space="preserve"> shall</w:t>
      </w:r>
      <w:r w:rsidR="00706368" w:rsidRPr="002F05DE">
        <w:rPr>
          <w:rStyle w:val="m-5247892291573324723bumpedfont15"/>
          <w:rFonts w:cstheme="minorHAnsi"/>
          <w:sz w:val="22"/>
          <w:szCs w:val="22"/>
        </w:rPr>
        <w:t xml:space="preserve"> not be </w:t>
      </w:r>
      <w:r w:rsidR="00D65B2A">
        <w:rPr>
          <w:rStyle w:val="m-5247892291573324723bumpedfont15"/>
          <w:rFonts w:cstheme="minorHAnsi"/>
          <w:sz w:val="22"/>
          <w:szCs w:val="22"/>
        </w:rPr>
        <w:t xml:space="preserve">directly </w:t>
      </w:r>
      <w:r w:rsidR="00706368" w:rsidRPr="002F05DE">
        <w:rPr>
          <w:rStyle w:val="m-5247892291573324723bumpedfont15"/>
          <w:rFonts w:cstheme="minorHAnsi"/>
          <w:sz w:val="22"/>
          <w:szCs w:val="22"/>
        </w:rPr>
        <w:t>approved by the legislative body</w:t>
      </w:r>
      <w:r>
        <w:rPr>
          <w:rStyle w:val="m-5247892291573324723bumpedfont15"/>
          <w:rFonts w:cstheme="minorHAnsi"/>
          <w:sz w:val="22"/>
          <w:szCs w:val="22"/>
        </w:rPr>
        <w:t>,</w:t>
      </w:r>
      <w:r w:rsidR="00706368" w:rsidRPr="002F05DE">
        <w:rPr>
          <w:rStyle w:val="m-5247892291573324723bumpedfont15"/>
          <w:rFonts w:cstheme="minorHAnsi"/>
          <w:sz w:val="22"/>
          <w:szCs w:val="22"/>
        </w:rPr>
        <w:t xml:space="preserve"> whenever the approval would constitute an approval of a “project” within the meaning of CEQA</w:t>
      </w:r>
      <w:r w:rsidR="00804668">
        <w:rPr>
          <w:rStyle w:val="m-5247892291573324723bumpedfont15"/>
          <w:rFonts w:cstheme="minorHAnsi"/>
          <w:sz w:val="22"/>
          <w:szCs w:val="22"/>
        </w:rPr>
        <w:t xml:space="preserve">. </w:t>
      </w:r>
      <w:r>
        <w:rPr>
          <w:rStyle w:val="m-5247892291573324723bumpedfont15"/>
          <w:rFonts w:cstheme="minorHAnsi"/>
          <w:sz w:val="22"/>
          <w:szCs w:val="22"/>
        </w:rPr>
        <w:t>The initiative must go to the ballot.</w:t>
      </w:r>
    </w:p>
    <w:p w14:paraId="62CF2881" w14:textId="77777777" w:rsidR="00706368" w:rsidRPr="002F05DE" w:rsidRDefault="00706368" w:rsidP="00BE2F9B">
      <w:pPr>
        <w:rPr>
          <w:rFonts w:cstheme="minorHAnsi"/>
          <w:sz w:val="22"/>
          <w:szCs w:val="22"/>
        </w:rPr>
      </w:pPr>
    </w:p>
    <w:p w14:paraId="4051B86D" w14:textId="406C2EFE" w:rsidR="00706368" w:rsidRDefault="009850CE" w:rsidP="00BE2F9B">
      <w:pPr>
        <w:rPr>
          <w:rFonts w:cstheme="minorHAnsi"/>
          <w:b/>
          <w:sz w:val="22"/>
          <w:szCs w:val="22"/>
          <w:highlight w:val="yellow"/>
          <w:u w:val="single"/>
        </w:rPr>
      </w:pPr>
      <w:r>
        <w:rPr>
          <w:rFonts w:cstheme="minorHAnsi"/>
          <w:b/>
          <w:sz w:val="22"/>
          <w:szCs w:val="22"/>
          <w:u w:val="single"/>
        </w:rPr>
        <w:t xml:space="preserve">Goal </w:t>
      </w:r>
      <w:r w:rsidR="00CC2846">
        <w:rPr>
          <w:rFonts w:cstheme="minorHAnsi"/>
          <w:b/>
          <w:sz w:val="22"/>
          <w:szCs w:val="22"/>
          <w:u w:val="single"/>
        </w:rPr>
        <w:t>8</w:t>
      </w:r>
      <w:r w:rsidR="00AD47E8" w:rsidRPr="00AD47E8">
        <w:rPr>
          <w:rFonts w:cstheme="minorHAnsi"/>
          <w:b/>
          <w:sz w:val="22"/>
          <w:szCs w:val="22"/>
          <w:u w:val="single"/>
        </w:rPr>
        <w:t xml:space="preserve">: </w:t>
      </w:r>
      <w:r w:rsidR="00840068">
        <w:rPr>
          <w:rFonts w:cstheme="minorHAnsi"/>
          <w:b/>
          <w:sz w:val="22"/>
          <w:szCs w:val="22"/>
          <w:u w:val="single"/>
        </w:rPr>
        <w:t xml:space="preserve">Emergency and </w:t>
      </w:r>
      <w:r w:rsidR="00324F31">
        <w:rPr>
          <w:rFonts w:cstheme="minorHAnsi"/>
          <w:b/>
          <w:sz w:val="22"/>
          <w:szCs w:val="22"/>
          <w:u w:val="single"/>
        </w:rPr>
        <w:t>Supportive</w:t>
      </w:r>
      <w:r w:rsidR="00840068">
        <w:rPr>
          <w:rFonts w:cstheme="minorHAnsi"/>
          <w:b/>
          <w:sz w:val="22"/>
          <w:szCs w:val="22"/>
          <w:u w:val="single"/>
        </w:rPr>
        <w:t xml:space="preserve"> Housing</w:t>
      </w:r>
      <w:r w:rsidR="00B96A01" w:rsidRPr="00797BB2">
        <w:rPr>
          <w:rFonts w:cstheme="minorHAnsi"/>
          <w:b/>
          <w:sz w:val="22"/>
          <w:szCs w:val="22"/>
          <w:u w:val="single"/>
        </w:rPr>
        <w:t xml:space="preserve"> </w:t>
      </w:r>
      <w:r w:rsidR="00B96A01" w:rsidRPr="00C652E7">
        <w:rPr>
          <w:rFonts w:cstheme="minorHAnsi"/>
          <w:b/>
          <w:sz w:val="22"/>
          <w:szCs w:val="22"/>
          <w:u w:val="single"/>
        </w:rPr>
        <w:t>Exemption</w:t>
      </w:r>
      <w:r w:rsidR="00F004F5" w:rsidRPr="00C652E7">
        <w:rPr>
          <w:rFonts w:cstheme="minorHAnsi"/>
          <w:b/>
          <w:sz w:val="22"/>
          <w:szCs w:val="22"/>
          <w:u w:val="single"/>
        </w:rPr>
        <w:t>s</w:t>
      </w:r>
      <w:r w:rsidRPr="00C652E7">
        <w:rPr>
          <w:rFonts w:cstheme="minorHAnsi"/>
          <w:b/>
          <w:sz w:val="22"/>
          <w:szCs w:val="22"/>
          <w:u w:val="single"/>
        </w:rPr>
        <w:t xml:space="preserve"> </w:t>
      </w:r>
      <w:r w:rsidR="00797BB2" w:rsidRPr="00C652E7">
        <w:rPr>
          <w:rFonts w:cstheme="minorHAnsi"/>
          <w:b/>
          <w:sz w:val="22"/>
          <w:szCs w:val="22"/>
          <w:u w:val="single"/>
        </w:rPr>
        <w:t>(SEC. 1</w:t>
      </w:r>
      <w:r w:rsidR="00CC2846">
        <w:rPr>
          <w:rFonts w:cstheme="minorHAnsi"/>
          <w:b/>
          <w:sz w:val="22"/>
          <w:szCs w:val="22"/>
          <w:u w:val="single"/>
        </w:rPr>
        <w:t>2</w:t>
      </w:r>
      <w:r w:rsidR="00797BB2" w:rsidRPr="00C652E7">
        <w:rPr>
          <w:rFonts w:cstheme="minorHAnsi"/>
          <w:b/>
          <w:sz w:val="22"/>
          <w:szCs w:val="22"/>
          <w:u w:val="single"/>
        </w:rPr>
        <w:t xml:space="preserve">) </w:t>
      </w:r>
    </w:p>
    <w:p w14:paraId="1A1D0617" w14:textId="77777777" w:rsidR="003147FA" w:rsidRDefault="003147FA" w:rsidP="00BE2F9B">
      <w:pPr>
        <w:rPr>
          <w:rFonts w:cstheme="minorHAnsi"/>
          <w:b/>
          <w:sz w:val="22"/>
          <w:szCs w:val="22"/>
        </w:rPr>
      </w:pPr>
      <w:r w:rsidRPr="003147FA">
        <w:rPr>
          <w:rFonts w:cstheme="minorHAnsi"/>
          <w:b/>
          <w:sz w:val="22"/>
          <w:szCs w:val="22"/>
        </w:rPr>
        <w:t>Problem</w:t>
      </w:r>
      <w:r>
        <w:rPr>
          <w:rFonts w:cstheme="minorHAnsi"/>
          <w:b/>
          <w:sz w:val="22"/>
          <w:szCs w:val="22"/>
        </w:rPr>
        <w:t>:</w:t>
      </w:r>
    </w:p>
    <w:p w14:paraId="667F67AF" w14:textId="04C925B6" w:rsidR="0031696D" w:rsidRDefault="0031696D" w:rsidP="00BE2F9B">
      <w:pPr>
        <w:rPr>
          <w:rFonts w:cstheme="minorHAnsi"/>
          <w:sz w:val="22"/>
          <w:szCs w:val="22"/>
        </w:rPr>
      </w:pPr>
      <w:r w:rsidRPr="0031696D">
        <w:rPr>
          <w:rFonts w:cstheme="minorHAnsi"/>
          <w:sz w:val="22"/>
          <w:szCs w:val="22"/>
        </w:rPr>
        <w:t>CEQA is used consistently to delay emergency housing projects for our state’s most vulnerable residents</w:t>
      </w:r>
      <w:r w:rsidR="003B108E">
        <w:rPr>
          <w:rFonts w:cstheme="minorHAnsi"/>
          <w:sz w:val="22"/>
          <w:szCs w:val="22"/>
        </w:rPr>
        <w:t>, often</w:t>
      </w:r>
      <w:r w:rsidR="003B108E" w:rsidRPr="002F05DE">
        <w:rPr>
          <w:rFonts w:cstheme="minorHAnsi"/>
          <w:sz w:val="22"/>
          <w:szCs w:val="22"/>
        </w:rPr>
        <w:t xml:space="preserve"> where opposition to the project is not tied to </w:t>
      </w:r>
      <w:r w:rsidR="00FC734E">
        <w:rPr>
          <w:rFonts w:cstheme="minorHAnsi"/>
          <w:sz w:val="22"/>
          <w:szCs w:val="22"/>
        </w:rPr>
        <w:t xml:space="preserve">genuine </w:t>
      </w:r>
      <w:r w:rsidR="003B108E" w:rsidRPr="002F05DE">
        <w:rPr>
          <w:rFonts w:cstheme="minorHAnsi"/>
          <w:sz w:val="22"/>
          <w:szCs w:val="22"/>
        </w:rPr>
        <w:t xml:space="preserve">environmental concerns. </w:t>
      </w:r>
    </w:p>
    <w:p w14:paraId="40B9A1C8" w14:textId="77777777" w:rsidR="0031696D" w:rsidRPr="0031696D" w:rsidRDefault="0031696D" w:rsidP="00BE2F9B">
      <w:pPr>
        <w:rPr>
          <w:rFonts w:cstheme="minorHAnsi"/>
          <w:b/>
          <w:sz w:val="22"/>
          <w:szCs w:val="22"/>
        </w:rPr>
      </w:pPr>
      <w:r w:rsidRPr="0031696D">
        <w:rPr>
          <w:rFonts w:cstheme="minorHAnsi"/>
          <w:b/>
          <w:sz w:val="22"/>
          <w:szCs w:val="22"/>
        </w:rPr>
        <w:t>Remedy:</w:t>
      </w:r>
    </w:p>
    <w:p w14:paraId="2C803D24" w14:textId="0D996D83" w:rsidR="00706368" w:rsidRDefault="00706368" w:rsidP="00BE2F9B">
      <w:pPr>
        <w:rPr>
          <w:rFonts w:cstheme="minorHAnsi"/>
          <w:sz w:val="22"/>
          <w:szCs w:val="22"/>
        </w:rPr>
      </w:pPr>
      <w:r w:rsidRPr="002F05DE">
        <w:rPr>
          <w:rFonts w:cstheme="minorHAnsi"/>
          <w:sz w:val="22"/>
          <w:szCs w:val="22"/>
        </w:rPr>
        <w:t xml:space="preserve">This amendment exempts homeless shelters and supportive housing projects in urbanized areas from </w:t>
      </w:r>
      <w:r w:rsidR="00FC734E">
        <w:rPr>
          <w:rFonts w:cstheme="minorHAnsi"/>
          <w:sz w:val="22"/>
          <w:szCs w:val="22"/>
        </w:rPr>
        <w:t xml:space="preserve">the need to comply with </w:t>
      </w:r>
      <w:r w:rsidRPr="002F05DE">
        <w:rPr>
          <w:rFonts w:cstheme="minorHAnsi"/>
          <w:sz w:val="22"/>
          <w:szCs w:val="22"/>
        </w:rPr>
        <w:t>CEQA</w:t>
      </w:r>
      <w:r w:rsidR="0031696D">
        <w:rPr>
          <w:rFonts w:cstheme="minorHAnsi"/>
          <w:sz w:val="22"/>
          <w:szCs w:val="22"/>
        </w:rPr>
        <w:t xml:space="preserve">, so long as the project </w:t>
      </w:r>
      <w:r w:rsidR="00FC734E">
        <w:rPr>
          <w:rFonts w:cstheme="minorHAnsi"/>
          <w:sz w:val="22"/>
          <w:szCs w:val="22"/>
        </w:rPr>
        <w:t xml:space="preserve">meets one of the following criteria: it </w:t>
      </w:r>
      <w:r w:rsidR="0031696D">
        <w:rPr>
          <w:rFonts w:cstheme="minorHAnsi"/>
          <w:sz w:val="22"/>
          <w:szCs w:val="22"/>
        </w:rPr>
        <w:t>is otherwise compliant</w:t>
      </w:r>
      <w:r w:rsidRPr="002F05DE">
        <w:rPr>
          <w:rFonts w:cstheme="minorHAnsi"/>
          <w:sz w:val="22"/>
          <w:szCs w:val="22"/>
        </w:rPr>
        <w:t xml:space="preserve"> with underlying land use plans and zoning; </w:t>
      </w:r>
      <w:r w:rsidR="00FC734E">
        <w:rPr>
          <w:rFonts w:cstheme="minorHAnsi"/>
          <w:sz w:val="22"/>
          <w:szCs w:val="22"/>
        </w:rPr>
        <w:t xml:space="preserve">it is </w:t>
      </w:r>
      <w:r w:rsidRPr="002F05DE">
        <w:rPr>
          <w:rFonts w:cstheme="minorHAnsi"/>
          <w:sz w:val="22"/>
          <w:szCs w:val="22"/>
        </w:rPr>
        <w:t>proposed on a site identified as</w:t>
      </w:r>
      <w:r w:rsidR="007E49E6">
        <w:rPr>
          <w:rFonts w:cstheme="minorHAnsi"/>
          <w:sz w:val="22"/>
          <w:szCs w:val="22"/>
        </w:rPr>
        <w:t xml:space="preserve"> suitable for moderate or lower-</w:t>
      </w:r>
      <w:r w:rsidRPr="002F05DE">
        <w:rPr>
          <w:rFonts w:cstheme="minorHAnsi"/>
          <w:sz w:val="22"/>
          <w:szCs w:val="22"/>
        </w:rPr>
        <w:t>income housing and is consistent with underlying density; or</w:t>
      </w:r>
      <w:r w:rsidR="00FC734E">
        <w:rPr>
          <w:rFonts w:cstheme="minorHAnsi"/>
          <w:sz w:val="22"/>
          <w:szCs w:val="22"/>
        </w:rPr>
        <w:t>,</w:t>
      </w:r>
      <w:r w:rsidRPr="002F05DE">
        <w:rPr>
          <w:rFonts w:cstheme="minorHAnsi"/>
          <w:sz w:val="22"/>
          <w:szCs w:val="22"/>
        </w:rPr>
        <w:t xml:space="preserve"> </w:t>
      </w:r>
      <w:r w:rsidR="00FC734E">
        <w:rPr>
          <w:rFonts w:cstheme="minorHAnsi"/>
          <w:sz w:val="22"/>
          <w:szCs w:val="22"/>
        </w:rPr>
        <w:t xml:space="preserve">where a </w:t>
      </w:r>
      <w:r w:rsidRPr="002F05DE">
        <w:rPr>
          <w:rFonts w:cstheme="minorHAnsi"/>
          <w:sz w:val="22"/>
          <w:szCs w:val="22"/>
        </w:rPr>
        <w:t>local jurisdiction has failed to meet its obligations under Housing Element law</w:t>
      </w:r>
      <w:r w:rsidR="00FC734E">
        <w:rPr>
          <w:rFonts w:cstheme="minorHAnsi"/>
          <w:sz w:val="22"/>
          <w:szCs w:val="22"/>
        </w:rPr>
        <w:t>,</w:t>
      </w:r>
      <w:r w:rsidRPr="002F05DE">
        <w:rPr>
          <w:rFonts w:cstheme="minorHAnsi"/>
          <w:sz w:val="22"/>
          <w:szCs w:val="22"/>
        </w:rPr>
        <w:t xml:space="preserve"> the project is proposed on a site</w:t>
      </w:r>
      <w:r w:rsidR="007E49E6">
        <w:rPr>
          <w:rFonts w:cstheme="minorHAnsi"/>
          <w:sz w:val="22"/>
          <w:szCs w:val="22"/>
        </w:rPr>
        <w:t xml:space="preserve"> that allows residential uses. </w:t>
      </w:r>
      <w:r w:rsidRPr="002F05DE">
        <w:rPr>
          <w:rFonts w:cstheme="minorHAnsi"/>
          <w:sz w:val="22"/>
          <w:szCs w:val="22"/>
        </w:rPr>
        <w:t xml:space="preserve">The amendment also incorporates </w:t>
      </w:r>
      <w:r w:rsidR="0058325D">
        <w:rPr>
          <w:rFonts w:cstheme="minorHAnsi"/>
          <w:sz w:val="22"/>
          <w:szCs w:val="22"/>
        </w:rPr>
        <w:t xml:space="preserve">common </w:t>
      </w:r>
      <w:r w:rsidRPr="002F05DE">
        <w:rPr>
          <w:rFonts w:cstheme="minorHAnsi"/>
          <w:sz w:val="22"/>
          <w:szCs w:val="22"/>
        </w:rPr>
        <w:t xml:space="preserve">qualifiers from other statutory exemptions, to </w:t>
      </w:r>
      <w:r w:rsidR="003B108E">
        <w:rPr>
          <w:rFonts w:cstheme="minorHAnsi"/>
          <w:sz w:val="22"/>
          <w:szCs w:val="22"/>
        </w:rPr>
        <w:t>ensure</w:t>
      </w:r>
      <w:r w:rsidRPr="002F05DE">
        <w:rPr>
          <w:rFonts w:cstheme="minorHAnsi"/>
          <w:sz w:val="22"/>
          <w:szCs w:val="22"/>
        </w:rPr>
        <w:t xml:space="preserve"> that the project does not have common environmental impacts, and that the site does not ha</w:t>
      </w:r>
      <w:r w:rsidR="003B108E">
        <w:rPr>
          <w:rFonts w:cstheme="minorHAnsi"/>
          <w:sz w:val="22"/>
          <w:szCs w:val="22"/>
        </w:rPr>
        <w:t>ve existing</w:t>
      </w:r>
      <w:r w:rsidRPr="002F05DE">
        <w:rPr>
          <w:rFonts w:cstheme="minorHAnsi"/>
          <w:sz w:val="22"/>
          <w:szCs w:val="22"/>
        </w:rPr>
        <w:t xml:space="preserve"> </w:t>
      </w:r>
      <w:r w:rsidR="00FC734E">
        <w:rPr>
          <w:rFonts w:cstheme="minorHAnsi"/>
          <w:sz w:val="22"/>
          <w:szCs w:val="22"/>
        </w:rPr>
        <w:t xml:space="preserve">environmental </w:t>
      </w:r>
      <w:r w:rsidR="003B108E">
        <w:rPr>
          <w:rFonts w:cstheme="minorHAnsi"/>
          <w:sz w:val="22"/>
          <w:szCs w:val="22"/>
        </w:rPr>
        <w:t>concerns</w:t>
      </w:r>
      <w:r w:rsidRPr="002F05DE">
        <w:rPr>
          <w:rFonts w:cstheme="minorHAnsi"/>
          <w:sz w:val="22"/>
          <w:szCs w:val="22"/>
        </w:rPr>
        <w:t xml:space="preserve">. </w:t>
      </w:r>
    </w:p>
    <w:p w14:paraId="4EB64C7E" w14:textId="77777777" w:rsidR="003B108E" w:rsidRDefault="003B108E" w:rsidP="00BE2F9B">
      <w:pPr>
        <w:rPr>
          <w:rFonts w:cstheme="minorHAnsi"/>
          <w:b/>
          <w:sz w:val="22"/>
          <w:szCs w:val="22"/>
        </w:rPr>
      </w:pPr>
    </w:p>
    <w:p w14:paraId="42A16360" w14:textId="582F0483" w:rsidR="00E95188" w:rsidRPr="00E95188" w:rsidRDefault="00E95188" w:rsidP="00BE2F9B">
      <w:pPr>
        <w:rPr>
          <w:rFonts w:cstheme="minorHAnsi"/>
          <w:b/>
          <w:sz w:val="22"/>
          <w:szCs w:val="22"/>
          <w:u w:val="single"/>
        </w:rPr>
      </w:pPr>
      <w:r w:rsidRPr="00E95188">
        <w:rPr>
          <w:rFonts w:cstheme="minorHAnsi"/>
          <w:b/>
          <w:sz w:val="22"/>
          <w:szCs w:val="22"/>
          <w:u w:val="single"/>
        </w:rPr>
        <w:t xml:space="preserve">Goal </w:t>
      </w:r>
      <w:r w:rsidR="00CC2846">
        <w:rPr>
          <w:rFonts w:cstheme="minorHAnsi"/>
          <w:b/>
          <w:sz w:val="22"/>
          <w:szCs w:val="22"/>
          <w:u w:val="single"/>
        </w:rPr>
        <w:t>9</w:t>
      </w:r>
      <w:r w:rsidRPr="00E95188">
        <w:rPr>
          <w:rFonts w:cstheme="minorHAnsi"/>
          <w:b/>
          <w:sz w:val="22"/>
          <w:szCs w:val="22"/>
          <w:u w:val="single"/>
        </w:rPr>
        <w:t>: Environmental Justice and Modernization</w:t>
      </w:r>
      <w:proofErr w:type="gramStart"/>
      <w:r w:rsidRPr="00E95188">
        <w:rPr>
          <w:rFonts w:cstheme="minorHAnsi"/>
          <w:b/>
          <w:sz w:val="22"/>
          <w:szCs w:val="22"/>
          <w:u w:val="single"/>
        </w:rPr>
        <w:t xml:space="preserve">   </w:t>
      </w:r>
      <w:r w:rsidRPr="00A546E3">
        <w:rPr>
          <w:rFonts w:cstheme="minorHAnsi"/>
          <w:b/>
          <w:sz w:val="22"/>
          <w:szCs w:val="22"/>
          <w:u w:val="single"/>
        </w:rPr>
        <w:t>(</w:t>
      </w:r>
      <w:proofErr w:type="gramEnd"/>
      <w:r w:rsidRPr="00A546E3">
        <w:rPr>
          <w:rFonts w:cstheme="minorHAnsi"/>
          <w:b/>
          <w:sz w:val="22"/>
          <w:szCs w:val="22"/>
          <w:u w:val="single"/>
        </w:rPr>
        <w:t xml:space="preserve">SEC. </w:t>
      </w:r>
      <w:r w:rsidR="00CC2846">
        <w:rPr>
          <w:rFonts w:cstheme="minorHAnsi"/>
          <w:b/>
          <w:sz w:val="22"/>
          <w:szCs w:val="22"/>
          <w:u w:val="single"/>
        </w:rPr>
        <w:t>7</w:t>
      </w:r>
      <w:r w:rsidRPr="00A546E3">
        <w:rPr>
          <w:rFonts w:cstheme="minorHAnsi"/>
          <w:b/>
          <w:sz w:val="22"/>
          <w:szCs w:val="22"/>
          <w:u w:val="single"/>
        </w:rPr>
        <w:t xml:space="preserve">, </w:t>
      </w:r>
      <w:r w:rsidR="00CC2846">
        <w:rPr>
          <w:rFonts w:cstheme="minorHAnsi"/>
          <w:b/>
          <w:sz w:val="22"/>
          <w:szCs w:val="22"/>
          <w:u w:val="single"/>
        </w:rPr>
        <w:t>8</w:t>
      </w:r>
      <w:r w:rsidRPr="00A546E3">
        <w:rPr>
          <w:rFonts w:cstheme="minorHAnsi"/>
          <w:b/>
          <w:sz w:val="22"/>
          <w:szCs w:val="22"/>
          <w:u w:val="single"/>
        </w:rPr>
        <w:t xml:space="preserve">, </w:t>
      </w:r>
      <w:r w:rsidR="00CC2846">
        <w:rPr>
          <w:rFonts w:cstheme="minorHAnsi"/>
          <w:b/>
          <w:sz w:val="22"/>
          <w:szCs w:val="22"/>
          <w:u w:val="single"/>
        </w:rPr>
        <w:t>9</w:t>
      </w:r>
      <w:r w:rsidRPr="00A546E3">
        <w:rPr>
          <w:rFonts w:cstheme="minorHAnsi"/>
          <w:b/>
          <w:sz w:val="22"/>
          <w:szCs w:val="22"/>
          <w:u w:val="single"/>
        </w:rPr>
        <w:t>, 1</w:t>
      </w:r>
      <w:r w:rsidR="00CC2846">
        <w:rPr>
          <w:rFonts w:cstheme="minorHAnsi"/>
          <w:b/>
          <w:sz w:val="22"/>
          <w:szCs w:val="22"/>
          <w:u w:val="single"/>
        </w:rPr>
        <w:t>0</w:t>
      </w:r>
      <w:r w:rsidRPr="00A546E3">
        <w:rPr>
          <w:rFonts w:cstheme="minorHAnsi"/>
          <w:b/>
          <w:sz w:val="22"/>
          <w:szCs w:val="22"/>
          <w:u w:val="single"/>
        </w:rPr>
        <w:t>)</w:t>
      </w:r>
    </w:p>
    <w:p w14:paraId="446E3F67" w14:textId="77777777" w:rsidR="00E95188" w:rsidRPr="002F05DE" w:rsidRDefault="00E95188" w:rsidP="00E95188">
      <w:pPr>
        <w:rPr>
          <w:rFonts w:cstheme="minorHAnsi"/>
          <w:b/>
          <w:sz w:val="22"/>
          <w:szCs w:val="22"/>
        </w:rPr>
      </w:pPr>
      <w:r>
        <w:rPr>
          <w:rFonts w:cstheme="minorHAnsi"/>
          <w:sz w:val="22"/>
          <w:szCs w:val="22"/>
        </w:rPr>
        <w:t>These amendments</w:t>
      </w:r>
      <w:r w:rsidRPr="002F05DE">
        <w:rPr>
          <w:rFonts w:cstheme="minorHAnsi"/>
          <w:sz w:val="22"/>
          <w:szCs w:val="22"/>
        </w:rPr>
        <w:t xml:space="preserve"> </w:t>
      </w:r>
      <w:r>
        <w:rPr>
          <w:rFonts w:cstheme="minorHAnsi"/>
          <w:sz w:val="22"/>
          <w:szCs w:val="22"/>
        </w:rPr>
        <w:t xml:space="preserve">explicitly </w:t>
      </w:r>
      <w:r w:rsidRPr="002F05DE">
        <w:rPr>
          <w:rFonts w:cstheme="minorHAnsi"/>
          <w:sz w:val="22"/>
          <w:szCs w:val="22"/>
        </w:rPr>
        <w:t xml:space="preserve">add environmental justice considerations to </w:t>
      </w:r>
      <w:r>
        <w:rPr>
          <w:rFonts w:cstheme="minorHAnsi"/>
          <w:sz w:val="22"/>
          <w:szCs w:val="22"/>
        </w:rPr>
        <w:t>the mandated considerations of the</w:t>
      </w:r>
      <w:r w:rsidRPr="002F05DE">
        <w:rPr>
          <w:rFonts w:cstheme="minorHAnsi"/>
          <w:sz w:val="22"/>
          <w:szCs w:val="22"/>
        </w:rPr>
        <w:t xml:space="preserve"> CEQA process, </w:t>
      </w:r>
      <w:r w:rsidR="00570365">
        <w:rPr>
          <w:rFonts w:cstheme="minorHAnsi"/>
          <w:sz w:val="22"/>
          <w:szCs w:val="22"/>
        </w:rPr>
        <w:t>and</w:t>
      </w:r>
      <w:r w:rsidRPr="002F05DE">
        <w:rPr>
          <w:rFonts w:cstheme="minorHAnsi"/>
          <w:sz w:val="22"/>
          <w:szCs w:val="22"/>
        </w:rPr>
        <w:t xml:space="preserve"> remov</w:t>
      </w:r>
      <w:r w:rsidR="00570365">
        <w:rPr>
          <w:rFonts w:cstheme="minorHAnsi"/>
          <w:sz w:val="22"/>
          <w:szCs w:val="22"/>
        </w:rPr>
        <w:t>e</w:t>
      </w:r>
      <w:r w:rsidRPr="002F05DE">
        <w:rPr>
          <w:rFonts w:cstheme="minorHAnsi"/>
          <w:sz w:val="22"/>
          <w:szCs w:val="22"/>
        </w:rPr>
        <w:t xml:space="preserve"> outmoded language</w:t>
      </w:r>
      <w:r w:rsidR="00570365">
        <w:rPr>
          <w:rFonts w:cstheme="minorHAnsi"/>
          <w:sz w:val="22"/>
          <w:szCs w:val="22"/>
        </w:rPr>
        <w:t xml:space="preserve"> and</w:t>
      </w:r>
      <w:r w:rsidRPr="002F05DE">
        <w:rPr>
          <w:rFonts w:cstheme="minorHAnsi"/>
          <w:sz w:val="22"/>
          <w:szCs w:val="22"/>
        </w:rPr>
        <w:t xml:space="preserve"> inappropriate references to gender</w:t>
      </w:r>
      <w:r w:rsidR="00570365">
        <w:rPr>
          <w:rFonts w:cstheme="minorHAnsi"/>
          <w:sz w:val="22"/>
          <w:szCs w:val="22"/>
        </w:rPr>
        <w:t>.</w:t>
      </w:r>
    </w:p>
    <w:p w14:paraId="548330FA" w14:textId="77777777" w:rsidR="00E95188" w:rsidRPr="002F05DE" w:rsidRDefault="00E95188" w:rsidP="00BE2F9B">
      <w:pPr>
        <w:rPr>
          <w:rFonts w:cstheme="minorHAnsi"/>
          <w:b/>
          <w:sz w:val="22"/>
          <w:szCs w:val="22"/>
        </w:rPr>
      </w:pPr>
    </w:p>
    <w:p w14:paraId="47FAC980" w14:textId="1391D6A2" w:rsidR="00706368" w:rsidRPr="00797BB2" w:rsidRDefault="009850CE" w:rsidP="00B96A01">
      <w:pPr>
        <w:rPr>
          <w:rFonts w:cstheme="minorHAnsi"/>
          <w:b/>
          <w:sz w:val="22"/>
          <w:szCs w:val="22"/>
          <w:u w:val="single"/>
        </w:rPr>
      </w:pPr>
      <w:r>
        <w:rPr>
          <w:rFonts w:cstheme="minorHAnsi"/>
          <w:b/>
          <w:sz w:val="22"/>
          <w:szCs w:val="22"/>
          <w:u w:val="single"/>
        </w:rPr>
        <w:t>Goal 1</w:t>
      </w:r>
      <w:r w:rsidR="00CC2846">
        <w:rPr>
          <w:rFonts w:cstheme="minorHAnsi"/>
          <w:b/>
          <w:sz w:val="22"/>
          <w:szCs w:val="22"/>
          <w:u w:val="single"/>
        </w:rPr>
        <w:t>0</w:t>
      </w:r>
      <w:r w:rsidR="00AD47E8" w:rsidRPr="00AD47E8">
        <w:rPr>
          <w:rFonts w:cstheme="minorHAnsi"/>
          <w:b/>
          <w:sz w:val="22"/>
          <w:szCs w:val="22"/>
          <w:u w:val="single"/>
        </w:rPr>
        <w:t xml:space="preserve">: </w:t>
      </w:r>
      <w:r w:rsidR="00B96A01" w:rsidRPr="00797BB2">
        <w:rPr>
          <w:rFonts w:cstheme="minorHAnsi"/>
          <w:b/>
          <w:sz w:val="22"/>
          <w:szCs w:val="22"/>
          <w:u w:val="single"/>
        </w:rPr>
        <w:t>Decluttering</w:t>
      </w:r>
      <w:proofErr w:type="gramStart"/>
      <w:r w:rsidR="00B96A01" w:rsidRPr="00797BB2">
        <w:rPr>
          <w:rFonts w:cstheme="minorHAnsi"/>
          <w:b/>
          <w:sz w:val="22"/>
          <w:szCs w:val="22"/>
          <w:u w:val="single"/>
        </w:rPr>
        <w:t xml:space="preserve"> </w:t>
      </w:r>
      <w:r w:rsidR="00E95188">
        <w:rPr>
          <w:rFonts w:cstheme="minorHAnsi"/>
          <w:b/>
          <w:sz w:val="22"/>
          <w:szCs w:val="22"/>
          <w:u w:val="single"/>
        </w:rPr>
        <w:t xml:space="preserve"> </w:t>
      </w:r>
      <w:r w:rsidR="00797BB2" w:rsidRPr="00797BB2">
        <w:rPr>
          <w:rFonts w:cstheme="minorHAnsi"/>
          <w:b/>
          <w:sz w:val="22"/>
          <w:szCs w:val="22"/>
          <w:u w:val="single"/>
        </w:rPr>
        <w:t xml:space="preserve"> (</w:t>
      </w:r>
      <w:proofErr w:type="gramEnd"/>
      <w:r w:rsidR="00797BB2" w:rsidRPr="00797BB2">
        <w:rPr>
          <w:rFonts w:cstheme="minorHAnsi"/>
          <w:b/>
          <w:sz w:val="22"/>
          <w:szCs w:val="22"/>
          <w:u w:val="single"/>
        </w:rPr>
        <w:t>SEC. 1</w:t>
      </w:r>
      <w:r w:rsidR="00CC2846">
        <w:rPr>
          <w:rFonts w:cstheme="minorHAnsi"/>
          <w:b/>
          <w:sz w:val="22"/>
          <w:szCs w:val="22"/>
          <w:u w:val="single"/>
        </w:rPr>
        <w:t>1</w:t>
      </w:r>
      <w:r w:rsidR="00797BB2" w:rsidRPr="00797BB2">
        <w:rPr>
          <w:rFonts w:cstheme="minorHAnsi"/>
          <w:b/>
          <w:sz w:val="22"/>
          <w:szCs w:val="22"/>
          <w:u w:val="single"/>
        </w:rPr>
        <w:t>, 2</w:t>
      </w:r>
      <w:r w:rsidR="00CC2846">
        <w:rPr>
          <w:rFonts w:cstheme="minorHAnsi"/>
          <w:b/>
          <w:sz w:val="22"/>
          <w:szCs w:val="22"/>
          <w:u w:val="single"/>
        </w:rPr>
        <w:t>1</w:t>
      </w:r>
      <w:r w:rsidR="00797BB2" w:rsidRPr="00797BB2">
        <w:rPr>
          <w:rFonts w:cstheme="minorHAnsi"/>
          <w:b/>
          <w:sz w:val="22"/>
          <w:szCs w:val="22"/>
          <w:u w:val="single"/>
        </w:rPr>
        <w:t>, 2</w:t>
      </w:r>
      <w:r w:rsidR="00CC2846">
        <w:rPr>
          <w:rFonts w:cstheme="minorHAnsi"/>
          <w:b/>
          <w:sz w:val="22"/>
          <w:szCs w:val="22"/>
          <w:u w:val="single"/>
        </w:rPr>
        <w:t>2</w:t>
      </w:r>
      <w:r w:rsidR="00797BB2" w:rsidRPr="00797BB2">
        <w:rPr>
          <w:rFonts w:cstheme="minorHAnsi"/>
          <w:b/>
          <w:sz w:val="22"/>
          <w:szCs w:val="22"/>
          <w:u w:val="single"/>
        </w:rPr>
        <w:t>)</w:t>
      </w:r>
    </w:p>
    <w:p w14:paraId="7B1115CD" w14:textId="77777777" w:rsidR="00706368" w:rsidRPr="00CF140F" w:rsidRDefault="009850CE" w:rsidP="00BE2F9B">
      <w:pPr>
        <w:rPr>
          <w:rFonts w:cstheme="minorHAnsi"/>
          <w:b/>
          <w:sz w:val="22"/>
          <w:szCs w:val="22"/>
        </w:rPr>
      </w:pPr>
      <w:r>
        <w:rPr>
          <w:rFonts w:cstheme="minorHAnsi"/>
          <w:sz w:val="22"/>
          <w:szCs w:val="22"/>
        </w:rPr>
        <w:t>These amendments</w:t>
      </w:r>
      <w:r w:rsidRPr="002F05DE">
        <w:rPr>
          <w:rFonts w:cstheme="minorHAnsi"/>
          <w:sz w:val="22"/>
          <w:szCs w:val="22"/>
        </w:rPr>
        <w:t xml:space="preserve"> </w:t>
      </w:r>
      <w:r>
        <w:rPr>
          <w:rFonts w:cstheme="minorHAnsi"/>
          <w:sz w:val="22"/>
          <w:szCs w:val="22"/>
        </w:rPr>
        <w:t xml:space="preserve">repeal </w:t>
      </w:r>
      <w:r w:rsidR="00706368" w:rsidRPr="002F05DE">
        <w:rPr>
          <w:rFonts w:cstheme="minorHAnsi"/>
          <w:sz w:val="22"/>
          <w:szCs w:val="22"/>
        </w:rPr>
        <w:t>expired project approvals</w:t>
      </w:r>
      <w:r>
        <w:rPr>
          <w:rFonts w:cstheme="minorHAnsi"/>
          <w:sz w:val="22"/>
          <w:szCs w:val="22"/>
        </w:rPr>
        <w:t xml:space="preserve"> and</w:t>
      </w:r>
      <w:r w:rsidR="00706368" w:rsidRPr="002F05DE">
        <w:rPr>
          <w:rFonts w:cstheme="minorHAnsi"/>
          <w:sz w:val="22"/>
          <w:szCs w:val="22"/>
        </w:rPr>
        <w:t xml:space="preserve"> other now</w:t>
      </w:r>
      <w:r>
        <w:rPr>
          <w:rFonts w:cstheme="minorHAnsi"/>
          <w:sz w:val="22"/>
          <w:szCs w:val="22"/>
        </w:rPr>
        <w:t>-</w:t>
      </w:r>
      <w:r w:rsidR="00706368" w:rsidRPr="002F05DE">
        <w:rPr>
          <w:rFonts w:cstheme="minorHAnsi"/>
          <w:sz w:val="22"/>
          <w:szCs w:val="22"/>
        </w:rPr>
        <w:t>obsolete</w:t>
      </w:r>
      <w:r>
        <w:rPr>
          <w:rFonts w:cstheme="minorHAnsi"/>
          <w:sz w:val="22"/>
          <w:szCs w:val="22"/>
        </w:rPr>
        <w:t xml:space="preserve"> sections</w:t>
      </w:r>
      <w:r w:rsidR="00570365">
        <w:rPr>
          <w:rFonts w:cstheme="minorHAnsi"/>
          <w:sz w:val="22"/>
          <w:szCs w:val="22"/>
        </w:rPr>
        <w:t xml:space="preserve"> from CEQ</w:t>
      </w:r>
      <w:r w:rsidR="00CF140F">
        <w:rPr>
          <w:rFonts w:cstheme="minorHAnsi"/>
          <w:sz w:val="22"/>
          <w:szCs w:val="22"/>
        </w:rPr>
        <w:t>A.</w:t>
      </w:r>
    </w:p>
    <w:p w14:paraId="597E65AA" w14:textId="034D4CB2" w:rsidR="00FC734E" w:rsidRDefault="00FC734E" w:rsidP="00FC734E">
      <w:pPr>
        <w:rPr>
          <w:rFonts w:cstheme="minorHAnsi"/>
          <w:sz w:val="22"/>
          <w:szCs w:val="22"/>
        </w:rPr>
        <w:sectPr w:rsidR="00FC734E" w:rsidSect="00662E3D">
          <w:pgSz w:w="12240" w:h="15840"/>
          <w:pgMar w:top="1440" w:right="1440" w:bottom="1440" w:left="1440" w:header="720" w:footer="720" w:gutter="0"/>
          <w:cols w:space="720"/>
          <w:docGrid w:linePitch="360"/>
        </w:sectPr>
      </w:pPr>
    </w:p>
    <w:p w14:paraId="610EFEE7" w14:textId="77777777" w:rsidR="00B0184D" w:rsidRDefault="00B0184D" w:rsidP="00B0184D">
      <w:pPr>
        <w:jc w:val="center"/>
        <w:rPr>
          <w:sz w:val="20"/>
        </w:rPr>
      </w:pPr>
    </w:p>
    <w:p w14:paraId="1755BD16" w14:textId="77777777" w:rsidR="00B0184D" w:rsidRDefault="00B0184D" w:rsidP="00B0184D">
      <w:pPr>
        <w:jc w:val="center"/>
        <w:rPr>
          <w:sz w:val="20"/>
        </w:rPr>
      </w:pPr>
    </w:p>
    <w:p w14:paraId="4F43AE50" w14:textId="15517D4D" w:rsidR="00B0184D" w:rsidRPr="000A1EF4" w:rsidRDefault="00CC2846" w:rsidP="00B0184D">
      <w:pPr>
        <w:jc w:val="center"/>
        <w:rPr>
          <w:b/>
          <w:sz w:val="20"/>
        </w:rPr>
      </w:pPr>
      <w:r>
        <w:rPr>
          <w:b/>
          <w:sz w:val="20"/>
        </w:rPr>
        <w:t xml:space="preserve">SB 55 </w:t>
      </w:r>
      <w:r w:rsidR="00B0184D" w:rsidRPr="000A1EF4">
        <w:rPr>
          <w:b/>
          <w:sz w:val="20"/>
        </w:rPr>
        <w:t xml:space="preserve">CEQA 2.0 AMENDMENT SUMMARY CHART, </w:t>
      </w:r>
      <w:r w:rsidR="00E93D9B">
        <w:rPr>
          <w:b/>
          <w:sz w:val="20"/>
        </w:rPr>
        <w:t xml:space="preserve">July </w:t>
      </w:r>
      <w:r w:rsidR="00B0184D" w:rsidRPr="000A1EF4">
        <w:rPr>
          <w:b/>
          <w:sz w:val="20"/>
        </w:rPr>
        <w:t>2020</w:t>
      </w:r>
    </w:p>
    <w:p w14:paraId="3A45B5D6" w14:textId="77777777" w:rsidR="00B0184D" w:rsidRDefault="00B0184D" w:rsidP="00E93D9B">
      <w:pPr>
        <w:rPr>
          <w:sz w:val="20"/>
        </w:rPr>
      </w:pPr>
    </w:p>
    <w:tbl>
      <w:tblPr>
        <w:tblStyle w:val="TableGrid"/>
        <w:tblW w:w="0" w:type="auto"/>
        <w:jc w:val="center"/>
        <w:tblLook w:val="04A0" w:firstRow="1" w:lastRow="0" w:firstColumn="1" w:lastColumn="0" w:noHBand="0" w:noVBand="1"/>
      </w:tblPr>
      <w:tblGrid>
        <w:gridCol w:w="3071"/>
        <w:gridCol w:w="3294"/>
        <w:gridCol w:w="3294"/>
        <w:gridCol w:w="3294"/>
      </w:tblGrid>
      <w:tr w:rsidR="00B0184D" w14:paraId="2C293F08" w14:textId="77777777" w:rsidTr="00F40E23">
        <w:trPr>
          <w:tblHeader/>
          <w:jc w:val="center"/>
        </w:trPr>
        <w:tc>
          <w:tcPr>
            <w:tcW w:w="3071" w:type="dxa"/>
            <w:shd w:val="clear" w:color="auto" w:fill="D9D9D9" w:themeFill="background1" w:themeFillShade="D9"/>
          </w:tcPr>
          <w:p w14:paraId="1F5D9F52" w14:textId="77777777" w:rsidR="00B0184D" w:rsidRDefault="00B0184D" w:rsidP="00F40E23">
            <w:pPr>
              <w:ind w:left="-108"/>
              <w:jc w:val="center"/>
              <w:rPr>
                <w:sz w:val="20"/>
              </w:rPr>
            </w:pPr>
            <w:r>
              <w:rPr>
                <w:sz w:val="20"/>
              </w:rPr>
              <w:t>GOAL</w:t>
            </w:r>
          </w:p>
        </w:tc>
        <w:tc>
          <w:tcPr>
            <w:tcW w:w="3294" w:type="dxa"/>
            <w:shd w:val="clear" w:color="auto" w:fill="D9D9D9" w:themeFill="background1" w:themeFillShade="D9"/>
          </w:tcPr>
          <w:p w14:paraId="65B5D8B0" w14:textId="77777777" w:rsidR="00B0184D" w:rsidRDefault="00B0184D" w:rsidP="00F40E23">
            <w:pPr>
              <w:jc w:val="center"/>
              <w:rPr>
                <w:sz w:val="20"/>
              </w:rPr>
            </w:pPr>
            <w:r>
              <w:rPr>
                <w:sz w:val="20"/>
              </w:rPr>
              <w:t>SPECIFIC ACTION(S)</w:t>
            </w:r>
          </w:p>
        </w:tc>
        <w:tc>
          <w:tcPr>
            <w:tcW w:w="3294" w:type="dxa"/>
            <w:shd w:val="clear" w:color="auto" w:fill="D9D9D9" w:themeFill="background1" w:themeFillShade="D9"/>
          </w:tcPr>
          <w:p w14:paraId="0C46D838" w14:textId="77777777" w:rsidR="00B0184D" w:rsidRDefault="00B0184D" w:rsidP="00F40E23">
            <w:pPr>
              <w:jc w:val="center"/>
              <w:rPr>
                <w:sz w:val="20"/>
              </w:rPr>
            </w:pPr>
            <w:r>
              <w:rPr>
                <w:sz w:val="20"/>
              </w:rPr>
              <w:t>STATUTORY AMENDMENT</w:t>
            </w:r>
          </w:p>
        </w:tc>
        <w:tc>
          <w:tcPr>
            <w:tcW w:w="3294" w:type="dxa"/>
            <w:shd w:val="clear" w:color="auto" w:fill="D9D9D9" w:themeFill="background1" w:themeFillShade="D9"/>
          </w:tcPr>
          <w:p w14:paraId="14E18EA0" w14:textId="77777777" w:rsidR="00B0184D" w:rsidRDefault="00B0184D" w:rsidP="00F40E23">
            <w:pPr>
              <w:jc w:val="center"/>
              <w:rPr>
                <w:sz w:val="20"/>
              </w:rPr>
            </w:pPr>
            <w:r>
              <w:rPr>
                <w:sz w:val="20"/>
              </w:rPr>
              <w:t>TIME SAVED/LITIGATION AVOIDED</w:t>
            </w:r>
          </w:p>
        </w:tc>
      </w:tr>
      <w:tr w:rsidR="00B0184D" w14:paraId="18260DE0" w14:textId="77777777" w:rsidTr="00F40E23">
        <w:trPr>
          <w:jc w:val="center"/>
        </w:trPr>
        <w:tc>
          <w:tcPr>
            <w:tcW w:w="3071" w:type="dxa"/>
          </w:tcPr>
          <w:p w14:paraId="4563E482" w14:textId="77777777" w:rsidR="00B0184D" w:rsidRDefault="00B0184D" w:rsidP="00B0184D">
            <w:pPr>
              <w:pStyle w:val="ListParagraph"/>
              <w:numPr>
                <w:ilvl w:val="0"/>
                <w:numId w:val="1"/>
              </w:numPr>
              <w:ind w:left="331" w:hanging="331"/>
              <w:rPr>
                <w:b/>
                <w:sz w:val="20"/>
              </w:rPr>
            </w:pPr>
            <w:r w:rsidRPr="000556AD">
              <w:rPr>
                <w:b/>
                <w:sz w:val="20"/>
              </w:rPr>
              <w:t>Record Streamlining</w:t>
            </w:r>
          </w:p>
          <w:p w14:paraId="24421776" w14:textId="77777777" w:rsidR="00B0184D" w:rsidRDefault="00B0184D" w:rsidP="00F40E23">
            <w:pPr>
              <w:ind w:left="360"/>
              <w:rPr>
                <w:sz w:val="20"/>
              </w:rPr>
            </w:pPr>
          </w:p>
          <w:p w14:paraId="168AC13E" w14:textId="77777777" w:rsidR="00B0184D" w:rsidRPr="00945BA3" w:rsidRDefault="00B0184D" w:rsidP="00F40E23">
            <w:pPr>
              <w:rPr>
                <w:b/>
                <w:sz w:val="20"/>
              </w:rPr>
            </w:pPr>
            <w:r w:rsidRPr="000556AD">
              <w:rPr>
                <w:sz w:val="20"/>
              </w:rPr>
              <w:t>Significant reduction of time to hearing on the merits</w:t>
            </w:r>
          </w:p>
        </w:tc>
        <w:tc>
          <w:tcPr>
            <w:tcW w:w="3294" w:type="dxa"/>
          </w:tcPr>
          <w:p w14:paraId="642423EA" w14:textId="44C9B265" w:rsidR="00B0184D" w:rsidRPr="002643CD" w:rsidRDefault="00B0184D" w:rsidP="00F40E23">
            <w:pPr>
              <w:ind w:left="108"/>
              <w:rPr>
                <w:sz w:val="20"/>
              </w:rPr>
            </w:pPr>
            <w:r w:rsidRPr="002643CD">
              <w:rPr>
                <w:sz w:val="20"/>
              </w:rPr>
              <w:t>Real party/lead agency can</w:t>
            </w:r>
            <w:r w:rsidR="00C652E7">
              <w:rPr>
                <w:sz w:val="20"/>
              </w:rPr>
              <w:t xml:space="preserve"> elect to</w:t>
            </w:r>
            <w:r w:rsidRPr="002643CD">
              <w:rPr>
                <w:sz w:val="20"/>
              </w:rPr>
              <w:t xml:space="preserve"> take over preparation of record if they assume all </w:t>
            </w:r>
            <w:r w:rsidRPr="002C773E">
              <w:rPr>
                <w:sz w:val="20"/>
              </w:rPr>
              <w:t xml:space="preserve">costs; </w:t>
            </w:r>
            <w:r>
              <w:rPr>
                <w:sz w:val="20"/>
              </w:rPr>
              <w:t>R</w:t>
            </w:r>
            <w:r w:rsidRPr="002C773E">
              <w:rPr>
                <w:sz w:val="20"/>
              </w:rPr>
              <w:t xml:space="preserve">ecord streamlining procedures; </w:t>
            </w:r>
            <w:r>
              <w:rPr>
                <w:sz w:val="20"/>
              </w:rPr>
              <w:t>E</w:t>
            </w:r>
            <w:r w:rsidRPr="002C773E">
              <w:rPr>
                <w:sz w:val="20"/>
              </w:rPr>
              <w:t>lectronification of the record</w:t>
            </w:r>
            <w:r>
              <w:rPr>
                <w:sz w:val="20"/>
              </w:rPr>
              <w:t>.</w:t>
            </w:r>
          </w:p>
        </w:tc>
        <w:tc>
          <w:tcPr>
            <w:tcW w:w="3294" w:type="dxa"/>
          </w:tcPr>
          <w:p w14:paraId="5982B148" w14:textId="77777777" w:rsidR="00B0184D" w:rsidRDefault="00B0184D" w:rsidP="00F40E23">
            <w:pPr>
              <w:rPr>
                <w:sz w:val="20"/>
              </w:rPr>
            </w:pPr>
            <w:r>
              <w:rPr>
                <w:sz w:val="20"/>
              </w:rPr>
              <w:t>Amend PRC §21167.6</w:t>
            </w:r>
          </w:p>
          <w:p w14:paraId="05D7F8DE" w14:textId="77777777" w:rsidR="00B0184D" w:rsidRDefault="00B0184D" w:rsidP="00F40E23">
            <w:pPr>
              <w:rPr>
                <w:sz w:val="20"/>
                <w:highlight w:val="yellow"/>
              </w:rPr>
            </w:pPr>
          </w:p>
          <w:p w14:paraId="49730ABB" w14:textId="3E9CC643" w:rsidR="00B0184D" w:rsidRPr="00D023F1" w:rsidRDefault="00B0184D" w:rsidP="00F40E23">
            <w:pPr>
              <w:rPr>
                <w:b/>
                <w:sz w:val="20"/>
              </w:rPr>
            </w:pPr>
            <w:r w:rsidRPr="002C773E">
              <w:rPr>
                <w:b/>
                <w:sz w:val="20"/>
              </w:rPr>
              <w:t xml:space="preserve">(Bill SEC. </w:t>
            </w:r>
            <w:r w:rsidR="00277E2D" w:rsidRPr="00CC2846">
              <w:rPr>
                <w:b/>
                <w:sz w:val="20"/>
              </w:rPr>
              <w:t>18</w:t>
            </w:r>
            <w:r w:rsidRPr="00CC2846">
              <w:rPr>
                <w:b/>
                <w:sz w:val="20"/>
              </w:rPr>
              <w:t>)</w:t>
            </w:r>
          </w:p>
        </w:tc>
        <w:tc>
          <w:tcPr>
            <w:tcW w:w="3294" w:type="dxa"/>
          </w:tcPr>
          <w:p w14:paraId="5D6F769B" w14:textId="405745B7" w:rsidR="00B0184D" w:rsidRPr="00060309" w:rsidRDefault="00B0184D" w:rsidP="00F40E23">
            <w:pPr>
              <w:rPr>
                <w:sz w:val="20"/>
              </w:rPr>
            </w:pPr>
            <w:r w:rsidRPr="008566ED">
              <w:rPr>
                <w:sz w:val="20"/>
              </w:rPr>
              <w:t>Estimated time saved</w:t>
            </w:r>
            <w:r w:rsidR="008566ED" w:rsidRPr="008566ED">
              <w:rPr>
                <w:sz w:val="20"/>
              </w:rPr>
              <w:t>,</w:t>
            </w:r>
            <w:r w:rsidRPr="008566ED">
              <w:rPr>
                <w:sz w:val="20"/>
              </w:rPr>
              <w:t xml:space="preserve"> </w:t>
            </w:r>
            <w:r w:rsidR="00C652E7" w:rsidRPr="008566ED">
              <w:rPr>
                <w:sz w:val="20"/>
              </w:rPr>
              <w:t xml:space="preserve">by </w:t>
            </w:r>
            <w:r w:rsidR="008566ED">
              <w:rPr>
                <w:sz w:val="20"/>
              </w:rPr>
              <w:t>G</w:t>
            </w:r>
            <w:r w:rsidR="00C652E7" w:rsidRPr="008566ED">
              <w:rPr>
                <w:sz w:val="20"/>
              </w:rPr>
              <w:t xml:space="preserve">oals </w:t>
            </w:r>
            <w:r w:rsidR="008566ED" w:rsidRPr="008566ED">
              <w:rPr>
                <w:sz w:val="20"/>
              </w:rPr>
              <w:t>#</w:t>
            </w:r>
            <w:r w:rsidR="00C652E7" w:rsidRPr="008566ED">
              <w:rPr>
                <w:sz w:val="20"/>
              </w:rPr>
              <w:t xml:space="preserve">1 and </w:t>
            </w:r>
            <w:r w:rsidR="008566ED" w:rsidRPr="00060309">
              <w:rPr>
                <w:sz w:val="20"/>
              </w:rPr>
              <w:t>#</w:t>
            </w:r>
            <w:r w:rsidR="00C652E7" w:rsidRPr="00060309">
              <w:rPr>
                <w:sz w:val="20"/>
              </w:rPr>
              <w:t>2</w:t>
            </w:r>
            <w:r w:rsidR="008566ED" w:rsidRPr="00060309">
              <w:rPr>
                <w:sz w:val="20"/>
              </w:rPr>
              <w:t xml:space="preserve"> combined,</w:t>
            </w:r>
            <w:r w:rsidR="00C652E7" w:rsidRPr="00060309">
              <w:rPr>
                <w:sz w:val="20"/>
              </w:rPr>
              <w:t xml:space="preserve"> </w:t>
            </w:r>
            <w:r w:rsidRPr="00060309">
              <w:rPr>
                <w:sz w:val="20"/>
              </w:rPr>
              <w:t xml:space="preserve">for a typical CEQA case*, where the election </w:t>
            </w:r>
            <w:r w:rsidRPr="00060309">
              <w:rPr>
                <w:b/>
                <w:sz w:val="20"/>
              </w:rPr>
              <w:t>is</w:t>
            </w:r>
            <w:r w:rsidRPr="00060309">
              <w:rPr>
                <w:sz w:val="20"/>
              </w:rPr>
              <w:t xml:space="preserve"> exercised</w:t>
            </w:r>
            <w:r w:rsidRPr="008566ED">
              <w:rPr>
                <w:sz w:val="20"/>
              </w:rPr>
              <w:t>, is 30-90 days. For a complex/large project case</w:t>
            </w:r>
            <w:r w:rsidRPr="00060309">
              <w:rPr>
                <w:sz w:val="20"/>
                <w:vertAlign w:val="superscript"/>
              </w:rPr>
              <w:t>**</w:t>
            </w:r>
            <w:r w:rsidRPr="00060309">
              <w:rPr>
                <w:sz w:val="20"/>
              </w:rPr>
              <w:t xml:space="preserve"> it is 180 days to 1+ year.</w:t>
            </w:r>
          </w:p>
        </w:tc>
      </w:tr>
      <w:tr w:rsidR="00B0184D" w14:paraId="5C60A0D0" w14:textId="77777777" w:rsidTr="00F40E23">
        <w:trPr>
          <w:jc w:val="center"/>
        </w:trPr>
        <w:tc>
          <w:tcPr>
            <w:tcW w:w="3071" w:type="dxa"/>
          </w:tcPr>
          <w:p w14:paraId="06EEFDA1" w14:textId="77777777" w:rsidR="00B0184D" w:rsidRPr="000556AD" w:rsidRDefault="00B0184D" w:rsidP="00B0184D">
            <w:pPr>
              <w:pStyle w:val="ListParagraph"/>
              <w:numPr>
                <w:ilvl w:val="0"/>
                <w:numId w:val="1"/>
              </w:numPr>
              <w:ind w:left="331" w:hanging="331"/>
              <w:rPr>
                <w:b/>
                <w:sz w:val="20"/>
              </w:rPr>
            </w:pPr>
            <w:r w:rsidRPr="000556AD">
              <w:rPr>
                <w:rFonts w:cstheme="minorHAnsi"/>
                <w:b/>
                <w:sz w:val="20"/>
              </w:rPr>
              <w:t xml:space="preserve">CMC Procedures </w:t>
            </w:r>
          </w:p>
          <w:p w14:paraId="1984C642" w14:textId="77777777" w:rsidR="00B0184D" w:rsidRDefault="00B0184D" w:rsidP="00F40E23">
            <w:pPr>
              <w:rPr>
                <w:sz w:val="20"/>
              </w:rPr>
            </w:pPr>
          </w:p>
          <w:p w14:paraId="15B6915E" w14:textId="77777777" w:rsidR="00B0184D" w:rsidRPr="000556AD" w:rsidRDefault="00B0184D" w:rsidP="00F40E23">
            <w:pPr>
              <w:rPr>
                <w:sz w:val="20"/>
              </w:rPr>
            </w:pPr>
            <w:r w:rsidRPr="000556AD">
              <w:rPr>
                <w:sz w:val="20"/>
              </w:rPr>
              <w:t>Significant reduction of time to hearing on the merits; encourage timely settlement discussions</w:t>
            </w:r>
          </w:p>
        </w:tc>
        <w:tc>
          <w:tcPr>
            <w:tcW w:w="3294" w:type="dxa"/>
          </w:tcPr>
          <w:p w14:paraId="75F1BD90" w14:textId="0D3010B5" w:rsidR="00B0184D" w:rsidRPr="002643CD" w:rsidRDefault="00B0184D" w:rsidP="00E93D9B">
            <w:pPr>
              <w:ind w:left="108"/>
              <w:rPr>
                <w:sz w:val="20"/>
              </w:rPr>
            </w:pPr>
            <w:r>
              <w:rPr>
                <w:sz w:val="20"/>
              </w:rPr>
              <w:t xml:space="preserve">Allow for agreement on hearing date; Mandate a Case Management Conference </w:t>
            </w:r>
            <w:r w:rsidRPr="002643CD">
              <w:rPr>
                <w:sz w:val="20"/>
              </w:rPr>
              <w:t>and enhance case management procedures to anticipate and pro-actively manage record disputes, logistical delays</w:t>
            </w:r>
            <w:r>
              <w:rPr>
                <w:sz w:val="20"/>
              </w:rPr>
              <w:t xml:space="preserve"> and </w:t>
            </w:r>
            <w:r w:rsidRPr="002643CD">
              <w:rPr>
                <w:sz w:val="20"/>
              </w:rPr>
              <w:t>review settlement potential</w:t>
            </w:r>
            <w:r>
              <w:rPr>
                <w:sz w:val="20"/>
              </w:rPr>
              <w:t>.</w:t>
            </w:r>
          </w:p>
        </w:tc>
        <w:tc>
          <w:tcPr>
            <w:tcW w:w="3294" w:type="dxa"/>
          </w:tcPr>
          <w:p w14:paraId="5602471B" w14:textId="77777777" w:rsidR="00B0184D" w:rsidRDefault="00B0184D" w:rsidP="00F40E23">
            <w:pPr>
              <w:rPr>
                <w:sz w:val="20"/>
              </w:rPr>
            </w:pPr>
            <w:r>
              <w:rPr>
                <w:sz w:val="20"/>
              </w:rPr>
              <w:t xml:space="preserve">Amend PRC </w:t>
            </w:r>
            <w:r w:rsidRPr="00CC7439">
              <w:rPr>
                <w:sz w:val="20"/>
              </w:rPr>
              <w:t>§</w:t>
            </w:r>
            <w:r>
              <w:rPr>
                <w:sz w:val="20"/>
              </w:rPr>
              <w:t>21167.4</w:t>
            </w:r>
          </w:p>
          <w:p w14:paraId="306EB226" w14:textId="77777777" w:rsidR="00B0184D" w:rsidRPr="002C773E" w:rsidRDefault="00B0184D" w:rsidP="00F40E23">
            <w:pPr>
              <w:rPr>
                <w:sz w:val="20"/>
              </w:rPr>
            </w:pPr>
            <w:r w:rsidRPr="002C773E">
              <w:rPr>
                <w:sz w:val="20"/>
              </w:rPr>
              <w:t>Amend PRC §21167.6</w:t>
            </w:r>
          </w:p>
          <w:p w14:paraId="21B51F64" w14:textId="77777777" w:rsidR="00B0184D" w:rsidRPr="002C773E" w:rsidRDefault="00B0184D" w:rsidP="00F40E23">
            <w:pPr>
              <w:rPr>
                <w:sz w:val="20"/>
              </w:rPr>
            </w:pPr>
            <w:r w:rsidRPr="002C773E">
              <w:rPr>
                <w:sz w:val="20"/>
              </w:rPr>
              <w:t>Add PRC §21167.8.5</w:t>
            </w:r>
          </w:p>
          <w:p w14:paraId="3C821306" w14:textId="77777777" w:rsidR="00B0184D" w:rsidRPr="002C773E" w:rsidRDefault="00B0184D" w:rsidP="00F40E23">
            <w:pPr>
              <w:rPr>
                <w:sz w:val="20"/>
              </w:rPr>
            </w:pPr>
          </w:p>
          <w:p w14:paraId="6520A2E5" w14:textId="25FCAAB4" w:rsidR="00B0184D" w:rsidRPr="00D023F1" w:rsidRDefault="00B0184D" w:rsidP="00F40E23">
            <w:pPr>
              <w:rPr>
                <w:b/>
                <w:sz w:val="20"/>
              </w:rPr>
            </w:pPr>
            <w:r w:rsidRPr="002C773E">
              <w:rPr>
                <w:b/>
                <w:sz w:val="20"/>
              </w:rPr>
              <w:t xml:space="preserve">(Bill SEC. </w:t>
            </w:r>
            <w:r w:rsidRPr="00CC2846">
              <w:rPr>
                <w:b/>
                <w:sz w:val="20"/>
              </w:rPr>
              <w:t>1</w:t>
            </w:r>
            <w:r w:rsidR="00277E2D" w:rsidRPr="00CC2846">
              <w:rPr>
                <w:b/>
                <w:sz w:val="20"/>
              </w:rPr>
              <w:t>7</w:t>
            </w:r>
            <w:r w:rsidRPr="00CC2846">
              <w:rPr>
                <w:b/>
                <w:sz w:val="20"/>
              </w:rPr>
              <w:t xml:space="preserve">, </w:t>
            </w:r>
            <w:r w:rsidR="00277E2D" w:rsidRPr="00CC2846">
              <w:rPr>
                <w:b/>
                <w:sz w:val="20"/>
              </w:rPr>
              <w:t>18</w:t>
            </w:r>
            <w:r w:rsidRPr="00CC2846">
              <w:rPr>
                <w:b/>
                <w:sz w:val="20"/>
              </w:rPr>
              <w:t>, 2</w:t>
            </w:r>
            <w:r w:rsidR="00277E2D" w:rsidRPr="00CC2846">
              <w:rPr>
                <w:b/>
                <w:sz w:val="20"/>
              </w:rPr>
              <w:t>0</w:t>
            </w:r>
            <w:r w:rsidRPr="00CC2846">
              <w:rPr>
                <w:b/>
                <w:sz w:val="20"/>
              </w:rPr>
              <w:t>)</w:t>
            </w:r>
          </w:p>
        </w:tc>
        <w:tc>
          <w:tcPr>
            <w:tcW w:w="3294" w:type="dxa"/>
          </w:tcPr>
          <w:p w14:paraId="3016239A" w14:textId="3D132E2A" w:rsidR="00B0184D" w:rsidRPr="008566ED" w:rsidRDefault="00B0184D" w:rsidP="00F40E23">
            <w:pPr>
              <w:rPr>
                <w:sz w:val="20"/>
              </w:rPr>
            </w:pPr>
            <w:r w:rsidRPr="008566ED">
              <w:rPr>
                <w:sz w:val="20"/>
              </w:rPr>
              <w:t xml:space="preserve">Estimated time saved for a typical CEQA case, </w:t>
            </w:r>
            <w:r w:rsidRPr="00060309">
              <w:rPr>
                <w:sz w:val="20"/>
              </w:rPr>
              <w:t>where the election is not exercised</w:t>
            </w:r>
            <w:r w:rsidRPr="008566ED">
              <w:rPr>
                <w:sz w:val="20"/>
              </w:rPr>
              <w:t xml:space="preserve">, is 30-60 Days.  For a complex/ large project its 60-90 days. </w:t>
            </w:r>
            <w:r w:rsidR="008566ED" w:rsidRPr="008566ED">
              <w:rPr>
                <w:sz w:val="20"/>
              </w:rPr>
              <w:t>(</w:t>
            </w:r>
            <w:r w:rsidRPr="00060309">
              <w:rPr>
                <w:sz w:val="20"/>
              </w:rPr>
              <w:t>Estimates assume</w:t>
            </w:r>
            <w:r w:rsidR="008566ED" w:rsidRPr="00060309">
              <w:rPr>
                <w:sz w:val="20"/>
              </w:rPr>
              <w:t xml:space="preserve"> adoption and success of</w:t>
            </w:r>
            <w:r w:rsidRPr="00060309">
              <w:rPr>
                <w:sz w:val="20"/>
              </w:rPr>
              <w:t xml:space="preserve"> </w:t>
            </w:r>
            <w:r w:rsidR="008566ED">
              <w:rPr>
                <w:sz w:val="20"/>
              </w:rPr>
              <w:t>G</w:t>
            </w:r>
            <w:r w:rsidRPr="00060309">
              <w:rPr>
                <w:sz w:val="20"/>
              </w:rPr>
              <w:t>oal #5</w:t>
            </w:r>
            <w:r w:rsidR="008566ED" w:rsidRPr="00060309">
              <w:rPr>
                <w:sz w:val="20"/>
              </w:rPr>
              <w:t xml:space="preserve">) </w:t>
            </w:r>
          </w:p>
        </w:tc>
      </w:tr>
      <w:tr w:rsidR="00B0184D" w14:paraId="2732D319" w14:textId="77777777" w:rsidTr="00F40E23">
        <w:trPr>
          <w:jc w:val="center"/>
        </w:trPr>
        <w:tc>
          <w:tcPr>
            <w:tcW w:w="3071" w:type="dxa"/>
          </w:tcPr>
          <w:p w14:paraId="02062B8D" w14:textId="77777777" w:rsidR="00B0184D" w:rsidRPr="000556AD" w:rsidRDefault="00B0184D" w:rsidP="00B0184D">
            <w:pPr>
              <w:pStyle w:val="ListParagraph"/>
              <w:numPr>
                <w:ilvl w:val="0"/>
                <w:numId w:val="1"/>
              </w:numPr>
              <w:ind w:left="331" w:hanging="331"/>
              <w:rPr>
                <w:b/>
                <w:sz w:val="20"/>
              </w:rPr>
            </w:pPr>
            <w:r w:rsidRPr="000556AD">
              <w:rPr>
                <w:rFonts w:cstheme="minorHAnsi"/>
                <w:b/>
                <w:sz w:val="20"/>
              </w:rPr>
              <w:t>Tolling Agreements</w:t>
            </w:r>
          </w:p>
          <w:p w14:paraId="41C1677C" w14:textId="77777777" w:rsidR="00B0184D" w:rsidRDefault="00B0184D" w:rsidP="00F40E23">
            <w:pPr>
              <w:pStyle w:val="ListParagraph"/>
              <w:ind w:left="331"/>
              <w:rPr>
                <w:sz w:val="20"/>
              </w:rPr>
            </w:pPr>
          </w:p>
          <w:p w14:paraId="63DB363D" w14:textId="07FDAB07" w:rsidR="00B0184D" w:rsidRPr="00945BA3" w:rsidRDefault="00B0184D" w:rsidP="00F40E23">
            <w:pPr>
              <w:rPr>
                <w:sz w:val="20"/>
              </w:rPr>
            </w:pPr>
            <w:r w:rsidRPr="00945BA3">
              <w:rPr>
                <w:sz w:val="20"/>
              </w:rPr>
              <w:t>Encourage/ facilitate pre-litigation settlement of CEQA disputes</w:t>
            </w:r>
          </w:p>
        </w:tc>
        <w:tc>
          <w:tcPr>
            <w:tcW w:w="3294" w:type="dxa"/>
          </w:tcPr>
          <w:p w14:paraId="6BBCBD57" w14:textId="77777777" w:rsidR="00B0184D" w:rsidRPr="002643CD" w:rsidRDefault="00B0184D" w:rsidP="00F40E23">
            <w:pPr>
              <w:ind w:left="108"/>
              <w:rPr>
                <w:sz w:val="20"/>
              </w:rPr>
            </w:pPr>
            <w:r w:rsidRPr="002643CD">
              <w:rPr>
                <w:sz w:val="20"/>
              </w:rPr>
              <w:t>Clarify ambiguity in current law on the effectiveness of tolling agreements; Clarify who can sign on behalf of parties to agreement</w:t>
            </w:r>
            <w:r>
              <w:rPr>
                <w:sz w:val="20"/>
              </w:rPr>
              <w:t>.</w:t>
            </w:r>
          </w:p>
        </w:tc>
        <w:tc>
          <w:tcPr>
            <w:tcW w:w="3294" w:type="dxa"/>
          </w:tcPr>
          <w:p w14:paraId="42B8A41F" w14:textId="77777777" w:rsidR="00B0184D" w:rsidRDefault="00B0184D" w:rsidP="00F40E23">
            <w:pPr>
              <w:rPr>
                <w:sz w:val="20"/>
              </w:rPr>
            </w:pPr>
            <w:r>
              <w:rPr>
                <w:sz w:val="20"/>
              </w:rPr>
              <w:t xml:space="preserve">Amend PRC </w:t>
            </w:r>
            <w:r w:rsidRPr="00CC7439">
              <w:rPr>
                <w:sz w:val="20"/>
              </w:rPr>
              <w:t>§</w:t>
            </w:r>
            <w:r>
              <w:rPr>
                <w:sz w:val="20"/>
              </w:rPr>
              <w:t>21167</w:t>
            </w:r>
          </w:p>
          <w:p w14:paraId="407D1A4B" w14:textId="77777777" w:rsidR="00B0184D" w:rsidRDefault="00B0184D" w:rsidP="00F40E23">
            <w:pPr>
              <w:rPr>
                <w:sz w:val="20"/>
              </w:rPr>
            </w:pPr>
            <w:r>
              <w:rPr>
                <w:sz w:val="20"/>
              </w:rPr>
              <w:t xml:space="preserve">Amend GOV </w:t>
            </w:r>
            <w:r w:rsidRPr="00CC7439">
              <w:rPr>
                <w:sz w:val="20"/>
              </w:rPr>
              <w:t>§</w:t>
            </w:r>
            <w:r>
              <w:rPr>
                <w:sz w:val="20"/>
              </w:rPr>
              <w:t>65009</w:t>
            </w:r>
          </w:p>
          <w:p w14:paraId="1A6691B4" w14:textId="77777777" w:rsidR="00B0184D" w:rsidRDefault="00B0184D" w:rsidP="00F40E23">
            <w:pPr>
              <w:rPr>
                <w:sz w:val="20"/>
              </w:rPr>
            </w:pPr>
            <w:r>
              <w:rPr>
                <w:sz w:val="20"/>
              </w:rPr>
              <w:t xml:space="preserve">Amend GOV </w:t>
            </w:r>
            <w:r w:rsidRPr="00CC7439">
              <w:rPr>
                <w:sz w:val="20"/>
              </w:rPr>
              <w:t>§</w:t>
            </w:r>
            <w:r>
              <w:rPr>
                <w:sz w:val="20"/>
              </w:rPr>
              <w:t xml:space="preserve">66499.37 </w:t>
            </w:r>
          </w:p>
          <w:p w14:paraId="6BF073CA" w14:textId="77777777" w:rsidR="00B0184D" w:rsidRDefault="00B0184D" w:rsidP="00F40E23">
            <w:pPr>
              <w:rPr>
                <w:sz w:val="20"/>
              </w:rPr>
            </w:pPr>
          </w:p>
          <w:p w14:paraId="0296FE94" w14:textId="550B7FCE" w:rsidR="00B0184D" w:rsidRPr="00D023F1" w:rsidRDefault="00B0184D" w:rsidP="00F40E23">
            <w:pPr>
              <w:rPr>
                <w:b/>
                <w:sz w:val="20"/>
              </w:rPr>
            </w:pPr>
            <w:r w:rsidRPr="00D023F1">
              <w:rPr>
                <w:b/>
                <w:sz w:val="20"/>
              </w:rPr>
              <w:t xml:space="preserve">(Bill </w:t>
            </w:r>
            <w:r w:rsidRPr="001E11A5">
              <w:rPr>
                <w:b/>
                <w:sz w:val="20"/>
              </w:rPr>
              <w:t xml:space="preserve">SEC. </w:t>
            </w:r>
            <w:r w:rsidR="00277E2D" w:rsidRPr="00CC2846">
              <w:rPr>
                <w:b/>
                <w:sz w:val="20"/>
              </w:rPr>
              <w:t>14</w:t>
            </w:r>
            <w:r w:rsidRPr="00CC2846">
              <w:rPr>
                <w:b/>
                <w:sz w:val="20"/>
              </w:rPr>
              <w:t xml:space="preserve">, </w:t>
            </w:r>
            <w:r w:rsidR="00332666" w:rsidRPr="00CC2846">
              <w:rPr>
                <w:b/>
                <w:sz w:val="20"/>
              </w:rPr>
              <w:t>5</w:t>
            </w:r>
            <w:r w:rsidR="00F0306A" w:rsidRPr="00CC2846">
              <w:rPr>
                <w:b/>
                <w:sz w:val="20"/>
              </w:rPr>
              <w:t xml:space="preserve">, </w:t>
            </w:r>
            <w:r w:rsidR="00332666" w:rsidRPr="00CC2846">
              <w:rPr>
                <w:b/>
                <w:sz w:val="20"/>
              </w:rPr>
              <w:t>6</w:t>
            </w:r>
            <w:r w:rsidRPr="00CC2846">
              <w:rPr>
                <w:b/>
                <w:sz w:val="20"/>
              </w:rPr>
              <w:t>)</w:t>
            </w:r>
          </w:p>
        </w:tc>
        <w:tc>
          <w:tcPr>
            <w:tcW w:w="3294" w:type="dxa"/>
          </w:tcPr>
          <w:p w14:paraId="75B12058" w14:textId="77777777" w:rsidR="00B0184D" w:rsidRDefault="00B0184D" w:rsidP="00F40E23">
            <w:pPr>
              <w:rPr>
                <w:sz w:val="20"/>
              </w:rPr>
            </w:pPr>
            <w:r>
              <w:rPr>
                <w:sz w:val="20"/>
              </w:rPr>
              <w:t xml:space="preserve">Estimate 4-6% of annual CEQA filings*** avoided </w:t>
            </w:r>
          </w:p>
        </w:tc>
      </w:tr>
      <w:tr w:rsidR="00B0184D" w14:paraId="5779028C" w14:textId="77777777" w:rsidTr="00F40E23">
        <w:trPr>
          <w:jc w:val="center"/>
        </w:trPr>
        <w:tc>
          <w:tcPr>
            <w:tcW w:w="3071" w:type="dxa"/>
          </w:tcPr>
          <w:p w14:paraId="63D92BB0" w14:textId="77777777" w:rsidR="00B0184D" w:rsidRPr="000556AD" w:rsidRDefault="00B0184D" w:rsidP="00B0184D">
            <w:pPr>
              <w:pStyle w:val="ListParagraph"/>
              <w:numPr>
                <w:ilvl w:val="0"/>
                <w:numId w:val="1"/>
              </w:numPr>
              <w:ind w:left="331" w:hanging="331"/>
              <w:rPr>
                <w:b/>
                <w:sz w:val="20"/>
              </w:rPr>
            </w:pPr>
            <w:r w:rsidRPr="000556AD">
              <w:rPr>
                <w:rFonts w:cstheme="minorHAnsi"/>
                <w:b/>
                <w:sz w:val="20"/>
              </w:rPr>
              <w:t xml:space="preserve">Pre-hearing Settlement Meeting   </w:t>
            </w:r>
          </w:p>
          <w:p w14:paraId="1D6DF554" w14:textId="77777777" w:rsidR="00B0184D" w:rsidRPr="00945BA3" w:rsidRDefault="00B0184D" w:rsidP="00F40E23">
            <w:pPr>
              <w:rPr>
                <w:sz w:val="20"/>
              </w:rPr>
            </w:pPr>
            <w:r w:rsidRPr="00945BA3">
              <w:rPr>
                <w:sz w:val="20"/>
              </w:rPr>
              <w:t>Increase pre-merits hearing settlements</w:t>
            </w:r>
          </w:p>
        </w:tc>
        <w:tc>
          <w:tcPr>
            <w:tcW w:w="3294" w:type="dxa"/>
          </w:tcPr>
          <w:p w14:paraId="1E694AB2" w14:textId="77777777" w:rsidR="00B0184D" w:rsidRPr="002643CD" w:rsidRDefault="00B0184D" w:rsidP="00F40E23">
            <w:pPr>
              <w:ind w:left="108"/>
              <w:rPr>
                <w:sz w:val="20"/>
              </w:rPr>
            </w:pPr>
            <w:r w:rsidRPr="002643CD">
              <w:rPr>
                <w:sz w:val="20"/>
              </w:rPr>
              <w:t>Expedite initial settlement and procedural discussions; Require settlement meeting after first CMC</w:t>
            </w:r>
            <w:r>
              <w:rPr>
                <w:sz w:val="20"/>
              </w:rPr>
              <w:t>.</w:t>
            </w:r>
          </w:p>
        </w:tc>
        <w:tc>
          <w:tcPr>
            <w:tcW w:w="3294" w:type="dxa"/>
          </w:tcPr>
          <w:p w14:paraId="48634476" w14:textId="77777777" w:rsidR="00B0184D" w:rsidRDefault="00B0184D" w:rsidP="00F40E23">
            <w:pPr>
              <w:rPr>
                <w:sz w:val="20"/>
              </w:rPr>
            </w:pPr>
            <w:r>
              <w:rPr>
                <w:sz w:val="20"/>
              </w:rPr>
              <w:t xml:space="preserve">Amend PRC </w:t>
            </w:r>
            <w:r w:rsidRPr="00CC7439">
              <w:rPr>
                <w:sz w:val="20"/>
              </w:rPr>
              <w:t>§</w:t>
            </w:r>
            <w:r>
              <w:rPr>
                <w:sz w:val="20"/>
              </w:rPr>
              <w:t>21167.8</w:t>
            </w:r>
          </w:p>
          <w:p w14:paraId="23464CBE" w14:textId="77777777" w:rsidR="00B0184D" w:rsidRPr="001E11A5" w:rsidRDefault="00B0184D" w:rsidP="00F40E23">
            <w:pPr>
              <w:rPr>
                <w:sz w:val="20"/>
              </w:rPr>
            </w:pPr>
            <w:r w:rsidRPr="001E11A5">
              <w:rPr>
                <w:sz w:val="20"/>
              </w:rPr>
              <w:t xml:space="preserve">Add PRC </w:t>
            </w:r>
            <w:r>
              <w:rPr>
                <w:sz w:val="20"/>
              </w:rPr>
              <w:t>§</w:t>
            </w:r>
            <w:r w:rsidRPr="001E11A5">
              <w:rPr>
                <w:sz w:val="20"/>
              </w:rPr>
              <w:t>21167.8.5</w:t>
            </w:r>
          </w:p>
          <w:p w14:paraId="5AFAE1C0" w14:textId="77777777" w:rsidR="00B0184D" w:rsidRPr="001E11A5" w:rsidRDefault="00B0184D" w:rsidP="00F40E23">
            <w:pPr>
              <w:rPr>
                <w:sz w:val="20"/>
              </w:rPr>
            </w:pPr>
          </w:p>
          <w:p w14:paraId="65B35C96" w14:textId="281B2D2B" w:rsidR="00B0184D" w:rsidRDefault="00B0184D" w:rsidP="00F40E23">
            <w:pPr>
              <w:rPr>
                <w:sz w:val="20"/>
              </w:rPr>
            </w:pPr>
            <w:r w:rsidRPr="001E11A5">
              <w:rPr>
                <w:sz w:val="20"/>
              </w:rPr>
              <w:t>(</w:t>
            </w:r>
            <w:r w:rsidRPr="001E11A5">
              <w:rPr>
                <w:b/>
                <w:sz w:val="20"/>
              </w:rPr>
              <w:t xml:space="preserve">Bill SEC. </w:t>
            </w:r>
            <w:r w:rsidR="00277E2D" w:rsidRPr="00CC2846">
              <w:rPr>
                <w:b/>
                <w:sz w:val="20"/>
              </w:rPr>
              <w:t>19</w:t>
            </w:r>
            <w:r w:rsidRPr="00CC2846">
              <w:rPr>
                <w:b/>
                <w:sz w:val="20"/>
              </w:rPr>
              <w:t>, 2</w:t>
            </w:r>
            <w:r w:rsidR="00277E2D" w:rsidRPr="00CC2846">
              <w:rPr>
                <w:b/>
                <w:sz w:val="20"/>
              </w:rPr>
              <w:t>0</w:t>
            </w:r>
            <w:r w:rsidRPr="00CC2846">
              <w:rPr>
                <w:b/>
                <w:sz w:val="20"/>
              </w:rPr>
              <w:t>)</w:t>
            </w:r>
          </w:p>
        </w:tc>
        <w:tc>
          <w:tcPr>
            <w:tcW w:w="3294" w:type="dxa"/>
          </w:tcPr>
          <w:p w14:paraId="2CF3DE87" w14:textId="4A4918D7" w:rsidR="00B0184D" w:rsidRDefault="00B0184D" w:rsidP="00F40E23">
            <w:pPr>
              <w:rPr>
                <w:sz w:val="20"/>
              </w:rPr>
            </w:pPr>
            <w:r>
              <w:rPr>
                <w:sz w:val="20"/>
              </w:rPr>
              <w:t>Estimate increase of pre-merits hearing settlements by 5-10%</w:t>
            </w:r>
          </w:p>
          <w:p w14:paraId="22ACBA6F" w14:textId="1A1C49D4" w:rsidR="00B0184D" w:rsidRDefault="00B0184D" w:rsidP="00F40E23">
            <w:pPr>
              <w:rPr>
                <w:sz w:val="20"/>
              </w:rPr>
            </w:pPr>
            <w:r w:rsidRPr="002644D2">
              <w:rPr>
                <w:sz w:val="20"/>
              </w:rPr>
              <w:t>(with Goal #2 amendments)</w:t>
            </w:r>
            <w:r w:rsidR="00E93D9B">
              <w:rPr>
                <w:sz w:val="20"/>
              </w:rPr>
              <w:t>.</w:t>
            </w:r>
          </w:p>
        </w:tc>
      </w:tr>
      <w:tr w:rsidR="00B0184D" w14:paraId="45ABAB27" w14:textId="77777777" w:rsidTr="00F40E23">
        <w:trPr>
          <w:jc w:val="center"/>
        </w:trPr>
        <w:tc>
          <w:tcPr>
            <w:tcW w:w="3071" w:type="dxa"/>
          </w:tcPr>
          <w:p w14:paraId="5863A6F9" w14:textId="77777777" w:rsidR="00B0184D" w:rsidRPr="000556AD" w:rsidRDefault="00B0184D" w:rsidP="00B0184D">
            <w:pPr>
              <w:pStyle w:val="ListParagraph"/>
              <w:numPr>
                <w:ilvl w:val="0"/>
                <w:numId w:val="1"/>
              </w:numPr>
              <w:ind w:left="331" w:hanging="331"/>
              <w:rPr>
                <w:b/>
                <w:sz w:val="20"/>
              </w:rPr>
            </w:pPr>
            <w:r w:rsidRPr="000556AD">
              <w:rPr>
                <w:rFonts w:cstheme="minorHAnsi"/>
                <w:b/>
                <w:sz w:val="20"/>
              </w:rPr>
              <w:t>Increase</w:t>
            </w:r>
            <w:r>
              <w:rPr>
                <w:rFonts w:cstheme="minorHAnsi"/>
                <w:b/>
                <w:sz w:val="20"/>
              </w:rPr>
              <w:t xml:space="preserve">d </w:t>
            </w:r>
            <w:r w:rsidRPr="000556AD">
              <w:rPr>
                <w:rFonts w:cstheme="minorHAnsi"/>
                <w:b/>
                <w:sz w:val="20"/>
              </w:rPr>
              <w:t xml:space="preserve">CEQA Expertise    </w:t>
            </w:r>
          </w:p>
          <w:p w14:paraId="020990CD" w14:textId="77777777" w:rsidR="00B0184D" w:rsidRDefault="00B0184D" w:rsidP="00F40E23">
            <w:pPr>
              <w:rPr>
                <w:sz w:val="20"/>
              </w:rPr>
            </w:pPr>
          </w:p>
          <w:p w14:paraId="4404C2FE" w14:textId="77777777" w:rsidR="00B0184D" w:rsidRPr="00945BA3" w:rsidRDefault="00B0184D" w:rsidP="00F40E23">
            <w:pPr>
              <w:rPr>
                <w:sz w:val="20"/>
              </w:rPr>
            </w:pPr>
            <w:r w:rsidRPr="000556AD">
              <w:rPr>
                <w:sz w:val="20"/>
              </w:rPr>
              <w:t>Facilitate prompt hearings</w:t>
            </w:r>
            <w:r>
              <w:rPr>
                <w:sz w:val="20"/>
              </w:rPr>
              <w:t>,</w:t>
            </w:r>
            <w:r w:rsidRPr="000556AD">
              <w:rPr>
                <w:sz w:val="20"/>
              </w:rPr>
              <w:t xml:space="preserve"> timely decisions</w:t>
            </w:r>
            <w:r>
              <w:rPr>
                <w:sz w:val="20"/>
              </w:rPr>
              <w:t>, and the r</w:t>
            </w:r>
            <w:r w:rsidRPr="00945BA3">
              <w:rPr>
                <w:sz w:val="20"/>
              </w:rPr>
              <w:t>educ</w:t>
            </w:r>
            <w:r>
              <w:rPr>
                <w:sz w:val="20"/>
              </w:rPr>
              <w:t>tion of</w:t>
            </w:r>
            <w:r w:rsidRPr="00945BA3">
              <w:rPr>
                <w:sz w:val="20"/>
              </w:rPr>
              <w:t xml:space="preserve"> the number of CEQA appeals</w:t>
            </w:r>
            <w:r>
              <w:rPr>
                <w:sz w:val="20"/>
              </w:rPr>
              <w:t xml:space="preserve"> with </w:t>
            </w:r>
            <w:r w:rsidRPr="00945BA3">
              <w:rPr>
                <w:sz w:val="20"/>
              </w:rPr>
              <w:t xml:space="preserve">uniform application of the law </w:t>
            </w:r>
          </w:p>
          <w:p w14:paraId="05B95ECC" w14:textId="77777777" w:rsidR="00B0184D" w:rsidRPr="000556AD" w:rsidRDefault="00B0184D" w:rsidP="00F40E23">
            <w:pPr>
              <w:ind w:left="360"/>
              <w:rPr>
                <w:sz w:val="20"/>
              </w:rPr>
            </w:pPr>
          </w:p>
          <w:p w14:paraId="33767E65" w14:textId="77777777" w:rsidR="00B0184D" w:rsidRPr="000556AD" w:rsidRDefault="00B0184D" w:rsidP="00F40E23">
            <w:pPr>
              <w:ind w:left="360"/>
              <w:rPr>
                <w:b/>
                <w:sz w:val="20"/>
              </w:rPr>
            </w:pPr>
          </w:p>
        </w:tc>
        <w:tc>
          <w:tcPr>
            <w:tcW w:w="3294" w:type="dxa"/>
          </w:tcPr>
          <w:p w14:paraId="63DBAAB4" w14:textId="77777777" w:rsidR="00B0184D" w:rsidRPr="002643CD" w:rsidRDefault="00B0184D" w:rsidP="00F40E23">
            <w:pPr>
              <w:ind w:left="108"/>
              <w:rPr>
                <w:sz w:val="20"/>
              </w:rPr>
            </w:pPr>
            <w:r w:rsidRPr="002643CD">
              <w:rPr>
                <w:sz w:val="20"/>
              </w:rPr>
              <w:t>Increase CEQA judges’ expertise and experience through enhanced training and extended terms; Make qualified CEQA judges available to counties under 200,000 in population; Assign experienced judges to complex cases; Expedite appellate court decisions</w:t>
            </w:r>
            <w:r>
              <w:rPr>
                <w:sz w:val="20"/>
              </w:rPr>
              <w:t>.</w:t>
            </w:r>
          </w:p>
        </w:tc>
        <w:tc>
          <w:tcPr>
            <w:tcW w:w="3294" w:type="dxa"/>
          </w:tcPr>
          <w:p w14:paraId="7D309633" w14:textId="77777777" w:rsidR="00B0184D" w:rsidRDefault="00B0184D" w:rsidP="00F40E23">
            <w:pPr>
              <w:rPr>
                <w:sz w:val="20"/>
              </w:rPr>
            </w:pPr>
            <w:r>
              <w:rPr>
                <w:sz w:val="20"/>
              </w:rPr>
              <w:t>Amend PRC §21167.1</w:t>
            </w:r>
          </w:p>
          <w:p w14:paraId="4BFF286C" w14:textId="77777777" w:rsidR="00B0184D" w:rsidRDefault="00B0184D" w:rsidP="00F40E23">
            <w:pPr>
              <w:rPr>
                <w:sz w:val="20"/>
              </w:rPr>
            </w:pPr>
            <w:r>
              <w:rPr>
                <w:sz w:val="20"/>
              </w:rPr>
              <w:t>Add PRC §21167.1.5</w:t>
            </w:r>
          </w:p>
          <w:p w14:paraId="16BEA7DB" w14:textId="77777777" w:rsidR="00B0184D" w:rsidRDefault="00B0184D" w:rsidP="00F40E23">
            <w:pPr>
              <w:rPr>
                <w:sz w:val="20"/>
                <w:highlight w:val="yellow"/>
              </w:rPr>
            </w:pPr>
          </w:p>
          <w:p w14:paraId="2B3A3043" w14:textId="373C4A9D" w:rsidR="00B0184D" w:rsidRPr="00D023F1" w:rsidRDefault="00B0184D" w:rsidP="00F40E23">
            <w:pPr>
              <w:rPr>
                <w:b/>
                <w:sz w:val="20"/>
              </w:rPr>
            </w:pPr>
            <w:r w:rsidRPr="00D1592F">
              <w:rPr>
                <w:b/>
                <w:sz w:val="20"/>
              </w:rPr>
              <w:t xml:space="preserve">(Bill SEC. </w:t>
            </w:r>
            <w:r w:rsidRPr="00CC2846">
              <w:rPr>
                <w:b/>
                <w:sz w:val="20"/>
              </w:rPr>
              <w:t>1</w:t>
            </w:r>
            <w:r w:rsidR="0088028A" w:rsidRPr="00CC2846">
              <w:rPr>
                <w:b/>
                <w:sz w:val="20"/>
              </w:rPr>
              <w:t>5</w:t>
            </w:r>
            <w:r w:rsidRPr="00CC2846">
              <w:rPr>
                <w:b/>
                <w:sz w:val="20"/>
              </w:rPr>
              <w:t>, 1</w:t>
            </w:r>
            <w:r w:rsidR="0088028A" w:rsidRPr="00CC2846">
              <w:rPr>
                <w:b/>
                <w:sz w:val="20"/>
              </w:rPr>
              <w:t>6</w:t>
            </w:r>
            <w:r w:rsidRPr="00CC2846">
              <w:rPr>
                <w:b/>
                <w:sz w:val="20"/>
              </w:rPr>
              <w:t>)</w:t>
            </w:r>
          </w:p>
        </w:tc>
        <w:tc>
          <w:tcPr>
            <w:tcW w:w="3294" w:type="dxa"/>
          </w:tcPr>
          <w:p w14:paraId="0A85269E" w14:textId="714ACD3D" w:rsidR="00B0184D" w:rsidRDefault="00B0184D" w:rsidP="00F40E23">
            <w:pPr>
              <w:rPr>
                <w:sz w:val="20"/>
              </w:rPr>
            </w:pPr>
            <w:r>
              <w:rPr>
                <w:sz w:val="20"/>
              </w:rPr>
              <w:t xml:space="preserve">Estimate number of appeals, statewide, </w:t>
            </w:r>
            <w:r w:rsidR="00C652E7">
              <w:rPr>
                <w:sz w:val="20"/>
              </w:rPr>
              <w:t>could</w:t>
            </w:r>
            <w:r>
              <w:rPr>
                <w:sz w:val="20"/>
              </w:rPr>
              <w:t xml:space="preserve"> decline by 10 to 15%, when judicial experience and expertise increases and qualified judges are used for complex/ large project cases and for cases arising in smaller counties</w:t>
            </w:r>
            <w:r w:rsidR="00E93D9B">
              <w:rPr>
                <w:sz w:val="20"/>
              </w:rPr>
              <w:t>.</w:t>
            </w:r>
          </w:p>
          <w:p w14:paraId="31272463" w14:textId="35B0B4F7" w:rsidR="00B0184D" w:rsidRDefault="00B0184D" w:rsidP="00F40E23">
            <w:pPr>
              <w:rPr>
                <w:sz w:val="20"/>
              </w:rPr>
            </w:pPr>
            <w:r>
              <w:rPr>
                <w:sz w:val="20"/>
              </w:rPr>
              <w:t>Estimated time reductions, in tandem</w:t>
            </w:r>
            <w:r w:rsidR="008566ED">
              <w:rPr>
                <w:sz w:val="20"/>
              </w:rPr>
              <w:t xml:space="preserve"> </w:t>
            </w:r>
            <w:r w:rsidRPr="00D1592F">
              <w:rPr>
                <w:sz w:val="20"/>
              </w:rPr>
              <w:t xml:space="preserve">Goal </w:t>
            </w:r>
            <w:r w:rsidR="008566ED">
              <w:rPr>
                <w:sz w:val="20"/>
              </w:rPr>
              <w:t xml:space="preserve">#1 and </w:t>
            </w:r>
            <w:r w:rsidRPr="00D1592F">
              <w:rPr>
                <w:sz w:val="20"/>
              </w:rPr>
              <w:t>#2 amendments,</w:t>
            </w:r>
            <w:r>
              <w:rPr>
                <w:sz w:val="20"/>
              </w:rPr>
              <w:t xml:space="preserve"> will be 30 to 60 days </w:t>
            </w:r>
            <w:r>
              <w:rPr>
                <w:sz w:val="20"/>
              </w:rPr>
              <w:lastRenderedPageBreak/>
              <w:t>for the typical case and 60 to 90 for complex/ large project cases</w:t>
            </w:r>
          </w:p>
        </w:tc>
      </w:tr>
      <w:tr w:rsidR="00B0184D" w14:paraId="14926C18" w14:textId="77777777" w:rsidTr="00F40E23">
        <w:trPr>
          <w:jc w:val="center"/>
        </w:trPr>
        <w:tc>
          <w:tcPr>
            <w:tcW w:w="3071" w:type="dxa"/>
          </w:tcPr>
          <w:p w14:paraId="65D1D20E" w14:textId="77777777" w:rsidR="00B0184D" w:rsidRPr="000556AD" w:rsidRDefault="00B0184D" w:rsidP="00B0184D">
            <w:pPr>
              <w:pStyle w:val="ListParagraph"/>
              <w:numPr>
                <w:ilvl w:val="0"/>
                <w:numId w:val="1"/>
              </w:numPr>
              <w:ind w:left="331" w:hanging="331"/>
              <w:rPr>
                <w:b/>
                <w:sz w:val="20"/>
              </w:rPr>
            </w:pPr>
            <w:r w:rsidRPr="000556AD">
              <w:rPr>
                <w:rFonts w:cstheme="minorHAnsi"/>
                <w:b/>
                <w:sz w:val="20"/>
              </w:rPr>
              <w:lastRenderedPageBreak/>
              <w:t xml:space="preserve">Final EIR Comments   </w:t>
            </w:r>
          </w:p>
          <w:p w14:paraId="3D744997" w14:textId="77777777" w:rsidR="00B0184D" w:rsidRDefault="00B0184D" w:rsidP="00F40E23">
            <w:pPr>
              <w:pStyle w:val="ListParagraph"/>
              <w:ind w:left="331"/>
              <w:rPr>
                <w:sz w:val="20"/>
              </w:rPr>
            </w:pPr>
          </w:p>
          <w:p w14:paraId="3137EBEA" w14:textId="77777777" w:rsidR="00B0184D" w:rsidRPr="00945BA3" w:rsidRDefault="00B0184D" w:rsidP="00F40E23">
            <w:pPr>
              <w:rPr>
                <w:b/>
                <w:sz w:val="20"/>
              </w:rPr>
            </w:pPr>
            <w:r w:rsidRPr="00945BA3">
              <w:rPr>
                <w:sz w:val="20"/>
              </w:rPr>
              <w:t>Establishing pre-project approval procedures to fairly and efficiently handle “eleventh hour” submissions</w:t>
            </w:r>
            <w:r>
              <w:rPr>
                <w:sz w:val="20"/>
              </w:rPr>
              <w:t>.</w:t>
            </w:r>
          </w:p>
        </w:tc>
        <w:tc>
          <w:tcPr>
            <w:tcW w:w="3294" w:type="dxa"/>
          </w:tcPr>
          <w:p w14:paraId="59C3867F" w14:textId="30D8CCDD" w:rsidR="00B0184D" w:rsidRPr="00E93D9B" w:rsidRDefault="00B0184D" w:rsidP="00F40E23">
            <w:pPr>
              <w:rPr>
                <w:rFonts w:eastAsia="Times New Roman" w:cstheme="minorHAnsi"/>
                <w:color w:val="000000"/>
                <w:sz w:val="20"/>
              </w:rPr>
            </w:pPr>
            <w:r w:rsidRPr="00626B7C">
              <w:rPr>
                <w:rFonts w:eastAsia="Times New Roman" w:cstheme="minorHAnsi"/>
                <w:color w:val="000000"/>
                <w:sz w:val="20"/>
              </w:rPr>
              <w:t xml:space="preserve">Optional </w:t>
            </w:r>
            <w:r>
              <w:rPr>
                <w:rFonts w:eastAsia="Times New Roman" w:cstheme="minorHAnsi"/>
                <w:color w:val="000000"/>
                <w:sz w:val="20"/>
              </w:rPr>
              <w:t xml:space="preserve">alternative </w:t>
            </w:r>
            <w:r w:rsidRPr="00626B7C">
              <w:rPr>
                <w:rFonts w:eastAsia="Times New Roman" w:cstheme="minorHAnsi"/>
                <w:color w:val="000000"/>
                <w:sz w:val="20"/>
              </w:rPr>
              <w:t xml:space="preserve">process whereby FEIRs are released for public review at least 30 days before a hearing on project approval, and written comments on those FEIRs must be submitted at least 10 days before the final hearing. Verbal comments will continue to be accepted </w:t>
            </w:r>
            <w:r>
              <w:rPr>
                <w:rFonts w:eastAsia="Times New Roman" w:cstheme="minorHAnsi"/>
                <w:color w:val="000000"/>
                <w:sz w:val="20"/>
              </w:rPr>
              <w:t>up</w:t>
            </w:r>
            <w:r w:rsidRPr="00626B7C">
              <w:rPr>
                <w:rFonts w:eastAsia="Times New Roman" w:cstheme="minorHAnsi"/>
                <w:color w:val="000000"/>
                <w:sz w:val="20"/>
              </w:rPr>
              <w:t xml:space="preserve"> to the close of public hearing.</w:t>
            </w:r>
          </w:p>
        </w:tc>
        <w:tc>
          <w:tcPr>
            <w:tcW w:w="3294" w:type="dxa"/>
          </w:tcPr>
          <w:p w14:paraId="3D0B948C" w14:textId="28D30CA7" w:rsidR="00B0184D" w:rsidRDefault="00CD138D" w:rsidP="00F40E23">
            <w:pPr>
              <w:rPr>
                <w:sz w:val="20"/>
              </w:rPr>
            </w:pPr>
            <w:r>
              <w:rPr>
                <w:sz w:val="20"/>
              </w:rPr>
              <w:t xml:space="preserve">Amend </w:t>
            </w:r>
            <w:r w:rsidR="00B0184D">
              <w:rPr>
                <w:sz w:val="20"/>
              </w:rPr>
              <w:t xml:space="preserve">PRC </w:t>
            </w:r>
            <w:r w:rsidR="00B0184D" w:rsidRPr="00CC7439">
              <w:rPr>
                <w:sz w:val="20"/>
              </w:rPr>
              <w:t>§</w:t>
            </w:r>
            <w:r w:rsidR="00B0184D">
              <w:rPr>
                <w:sz w:val="20"/>
              </w:rPr>
              <w:t>21092.5</w:t>
            </w:r>
          </w:p>
          <w:p w14:paraId="004E939C" w14:textId="77777777" w:rsidR="00B0184D" w:rsidRPr="00D1592F" w:rsidRDefault="00B0184D" w:rsidP="00F40E23">
            <w:pPr>
              <w:rPr>
                <w:sz w:val="20"/>
              </w:rPr>
            </w:pPr>
            <w:r w:rsidRPr="00D1592F">
              <w:rPr>
                <w:sz w:val="20"/>
              </w:rPr>
              <w:t xml:space="preserve">Amend PRC </w:t>
            </w:r>
            <w:r>
              <w:rPr>
                <w:sz w:val="20"/>
              </w:rPr>
              <w:t>§</w:t>
            </w:r>
            <w:r w:rsidRPr="00D1592F">
              <w:rPr>
                <w:sz w:val="20"/>
              </w:rPr>
              <w:t>21177</w:t>
            </w:r>
          </w:p>
          <w:p w14:paraId="6181657E" w14:textId="77777777" w:rsidR="00B0184D" w:rsidRPr="00D1592F" w:rsidRDefault="00B0184D" w:rsidP="00F40E23">
            <w:pPr>
              <w:rPr>
                <w:sz w:val="20"/>
              </w:rPr>
            </w:pPr>
          </w:p>
          <w:p w14:paraId="3C1F77DB" w14:textId="575E7C51" w:rsidR="00B0184D" w:rsidRPr="00D023F1" w:rsidRDefault="00B0184D" w:rsidP="00F40E23">
            <w:pPr>
              <w:rPr>
                <w:b/>
                <w:sz w:val="20"/>
              </w:rPr>
            </w:pPr>
            <w:r w:rsidRPr="00D1592F">
              <w:rPr>
                <w:sz w:val="20"/>
              </w:rPr>
              <w:t>(</w:t>
            </w:r>
            <w:r w:rsidRPr="00D1592F">
              <w:rPr>
                <w:b/>
                <w:sz w:val="20"/>
              </w:rPr>
              <w:t xml:space="preserve">Bill SEC. </w:t>
            </w:r>
            <w:r w:rsidRPr="00CC2846">
              <w:rPr>
                <w:b/>
                <w:sz w:val="20"/>
              </w:rPr>
              <w:t>1</w:t>
            </w:r>
            <w:r w:rsidR="0088028A" w:rsidRPr="00CC2846">
              <w:rPr>
                <w:b/>
                <w:sz w:val="20"/>
              </w:rPr>
              <w:t>3</w:t>
            </w:r>
            <w:r w:rsidRPr="00CC2846">
              <w:rPr>
                <w:b/>
                <w:sz w:val="20"/>
              </w:rPr>
              <w:t>, 2</w:t>
            </w:r>
            <w:r w:rsidR="0088028A" w:rsidRPr="00CC2846">
              <w:rPr>
                <w:b/>
                <w:sz w:val="20"/>
              </w:rPr>
              <w:t>3</w:t>
            </w:r>
            <w:r w:rsidRPr="00CC2846">
              <w:rPr>
                <w:b/>
                <w:sz w:val="20"/>
              </w:rPr>
              <w:t>)</w:t>
            </w:r>
          </w:p>
          <w:p w14:paraId="1E45CFB2" w14:textId="77777777" w:rsidR="00B0184D" w:rsidRDefault="00B0184D" w:rsidP="00F40E23">
            <w:pPr>
              <w:rPr>
                <w:sz w:val="20"/>
              </w:rPr>
            </w:pPr>
          </w:p>
        </w:tc>
        <w:tc>
          <w:tcPr>
            <w:tcW w:w="3294" w:type="dxa"/>
          </w:tcPr>
          <w:p w14:paraId="773DAFE9" w14:textId="571B326F" w:rsidR="00B0184D" w:rsidRDefault="00B0184D" w:rsidP="00F40E23">
            <w:pPr>
              <w:rPr>
                <w:sz w:val="20"/>
              </w:rPr>
            </w:pPr>
            <w:r>
              <w:rPr>
                <w:sz w:val="20"/>
              </w:rPr>
              <w:t xml:space="preserve">Will avoid pressures to continue/ delay approval hearings and facilitate decision makers having all issues and supporting evidence/data before them when they vote. </w:t>
            </w:r>
          </w:p>
        </w:tc>
      </w:tr>
      <w:tr w:rsidR="00B0184D" w14:paraId="13C09CDC" w14:textId="77777777" w:rsidTr="00F40E23">
        <w:trPr>
          <w:jc w:val="center"/>
        </w:trPr>
        <w:tc>
          <w:tcPr>
            <w:tcW w:w="3071" w:type="dxa"/>
          </w:tcPr>
          <w:p w14:paraId="56EF67A8" w14:textId="77777777" w:rsidR="00B0184D" w:rsidRPr="00BA6012" w:rsidRDefault="00B0184D" w:rsidP="00B0184D">
            <w:pPr>
              <w:pStyle w:val="ListParagraph"/>
              <w:numPr>
                <w:ilvl w:val="0"/>
                <w:numId w:val="1"/>
              </w:numPr>
              <w:ind w:left="331" w:hanging="331"/>
              <w:rPr>
                <w:b/>
                <w:sz w:val="20"/>
              </w:rPr>
            </w:pPr>
            <w:r w:rsidRPr="00A646DD">
              <w:rPr>
                <w:rFonts w:cstheme="minorHAnsi"/>
                <w:b/>
                <w:bCs/>
                <w:sz w:val="20"/>
              </w:rPr>
              <w:t xml:space="preserve">Tuolumne Jobs Fix   </w:t>
            </w:r>
          </w:p>
          <w:p w14:paraId="39687372" w14:textId="77777777" w:rsidR="00B0184D" w:rsidRDefault="00B0184D" w:rsidP="00F40E23">
            <w:pPr>
              <w:rPr>
                <w:sz w:val="20"/>
              </w:rPr>
            </w:pPr>
          </w:p>
          <w:p w14:paraId="610F47AA" w14:textId="09B2F11E" w:rsidR="00B0184D" w:rsidRPr="00035641" w:rsidRDefault="00B0184D" w:rsidP="00F40E23">
            <w:pPr>
              <w:rPr>
                <w:sz w:val="20"/>
              </w:rPr>
            </w:pPr>
            <w:r w:rsidRPr="00035641">
              <w:rPr>
                <w:sz w:val="20"/>
              </w:rPr>
              <w:t>Correct court interpretation that allows the by-passing of CEQA</w:t>
            </w:r>
            <w:r>
              <w:rPr>
                <w:sz w:val="20"/>
              </w:rPr>
              <w:t xml:space="preserve"> through voter-initiative.</w:t>
            </w:r>
          </w:p>
        </w:tc>
        <w:tc>
          <w:tcPr>
            <w:tcW w:w="3294" w:type="dxa"/>
          </w:tcPr>
          <w:p w14:paraId="223D415E" w14:textId="77777777" w:rsidR="00B0184D" w:rsidRDefault="00B0184D" w:rsidP="00F40E23">
            <w:pPr>
              <w:rPr>
                <w:sz w:val="20"/>
              </w:rPr>
            </w:pPr>
            <w:r w:rsidRPr="002644D2">
              <w:rPr>
                <w:sz w:val="20"/>
              </w:rPr>
              <w:t>Prohibiting direct adoption of voter-sponsored initiatives by a lead agency, if that adoption would constitute approval of a “project” per CEQA.</w:t>
            </w:r>
          </w:p>
        </w:tc>
        <w:tc>
          <w:tcPr>
            <w:tcW w:w="3294" w:type="dxa"/>
          </w:tcPr>
          <w:p w14:paraId="1DE70BE0" w14:textId="325F2B22" w:rsidR="00871DB4" w:rsidRDefault="00871DB4" w:rsidP="00F40E23">
            <w:pPr>
              <w:rPr>
                <w:sz w:val="20"/>
              </w:rPr>
            </w:pPr>
            <w:r w:rsidRPr="00A546E3">
              <w:rPr>
                <w:sz w:val="20"/>
              </w:rPr>
              <w:t>Amend ELEC §9118</w:t>
            </w:r>
          </w:p>
          <w:p w14:paraId="23016940" w14:textId="4909F41E" w:rsidR="00B0184D" w:rsidRDefault="00B0184D" w:rsidP="00F40E23">
            <w:pPr>
              <w:rPr>
                <w:sz w:val="20"/>
              </w:rPr>
            </w:pPr>
            <w:r>
              <w:rPr>
                <w:sz w:val="20"/>
              </w:rPr>
              <w:t xml:space="preserve">Amend ELEC </w:t>
            </w:r>
            <w:r w:rsidRPr="00CC7439">
              <w:rPr>
                <w:sz w:val="20"/>
              </w:rPr>
              <w:t>§</w:t>
            </w:r>
            <w:r>
              <w:rPr>
                <w:sz w:val="20"/>
              </w:rPr>
              <w:t xml:space="preserve">9215 </w:t>
            </w:r>
          </w:p>
          <w:p w14:paraId="082F7546" w14:textId="77777777" w:rsidR="00B0184D" w:rsidRDefault="00B0184D" w:rsidP="00F40E23">
            <w:pPr>
              <w:rPr>
                <w:sz w:val="20"/>
              </w:rPr>
            </w:pPr>
            <w:r>
              <w:rPr>
                <w:sz w:val="20"/>
              </w:rPr>
              <w:t xml:space="preserve">Amend ELEC </w:t>
            </w:r>
            <w:r w:rsidRPr="00CC7439">
              <w:rPr>
                <w:sz w:val="20"/>
              </w:rPr>
              <w:t>§</w:t>
            </w:r>
            <w:r>
              <w:rPr>
                <w:sz w:val="20"/>
              </w:rPr>
              <w:t>9310</w:t>
            </w:r>
          </w:p>
          <w:p w14:paraId="1FB2BAAD" w14:textId="77777777" w:rsidR="00B0184D" w:rsidRDefault="00B0184D" w:rsidP="00F40E23">
            <w:pPr>
              <w:rPr>
                <w:sz w:val="20"/>
                <w:highlight w:val="yellow"/>
              </w:rPr>
            </w:pPr>
          </w:p>
          <w:p w14:paraId="26B033D3" w14:textId="6112C9EE" w:rsidR="00B0184D" w:rsidRPr="00D023F1" w:rsidRDefault="00B0184D" w:rsidP="00F40E23">
            <w:pPr>
              <w:rPr>
                <w:b/>
                <w:sz w:val="20"/>
              </w:rPr>
            </w:pPr>
            <w:r w:rsidRPr="002644D2">
              <w:rPr>
                <w:b/>
                <w:sz w:val="20"/>
              </w:rPr>
              <w:t xml:space="preserve">(Bill SEC. </w:t>
            </w:r>
            <w:r w:rsidR="0088028A" w:rsidRPr="00CC2846">
              <w:rPr>
                <w:b/>
                <w:sz w:val="20"/>
              </w:rPr>
              <w:t>2</w:t>
            </w:r>
            <w:r w:rsidRPr="00CC2846">
              <w:rPr>
                <w:b/>
                <w:sz w:val="20"/>
              </w:rPr>
              <w:t xml:space="preserve">, </w:t>
            </w:r>
            <w:r w:rsidR="0088028A" w:rsidRPr="00CC2846">
              <w:rPr>
                <w:b/>
                <w:sz w:val="20"/>
              </w:rPr>
              <w:t>3</w:t>
            </w:r>
            <w:r w:rsidR="00871DB4" w:rsidRPr="00CC2846">
              <w:rPr>
                <w:b/>
                <w:sz w:val="20"/>
              </w:rPr>
              <w:t xml:space="preserve">, </w:t>
            </w:r>
            <w:r w:rsidR="0088028A" w:rsidRPr="00CC2846">
              <w:rPr>
                <w:b/>
                <w:sz w:val="20"/>
              </w:rPr>
              <w:t>4</w:t>
            </w:r>
            <w:r w:rsidRPr="00CC2846">
              <w:rPr>
                <w:b/>
                <w:sz w:val="20"/>
              </w:rPr>
              <w:t>)</w:t>
            </w:r>
          </w:p>
        </w:tc>
        <w:tc>
          <w:tcPr>
            <w:tcW w:w="3294" w:type="dxa"/>
          </w:tcPr>
          <w:p w14:paraId="1A752AE4" w14:textId="3BF2B707" w:rsidR="008566ED" w:rsidRDefault="008566ED" w:rsidP="008566ED">
            <w:pPr>
              <w:pStyle w:val="CommentText"/>
            </w:pPr>
            <w:r>
              <w:t>Eliminates loophole in CEQA that undermines the uniform application of the law.</w:t>
            </w:r>
          </w:p>
          <w:p w14:paraId="50C0E93D" w14:textId="75F6DE15" w:rsidR="00B0184D" w:rsidRDefault="00B0184D" w:rsidP="00F40E23">
            <w:pPr>
              <w:rPr>
                <w:sz w:val="20"/>
              </w:rPr>
            </w:pPr>
          </w:p>
        </w:tc>
      </w:tr>
      <w:tr w:rsidR="00B0184D" w14:paraId="00BA68A2" w14:textId="77777777" w:rsidTr="00F40E23">
        <w:trPr>
          <w:jc w:val="center"/>
        </w:trPr>
        <w:tc>
          <w:tcPr>
            <w:tcW w:w="3071" w:type="dxa"/>
          </w:tcPr>
          <w:p w14:paraId="202365FF" w14:textId="6D0CF3A6" w:rsidR="00B0184D" w:rsidRPr="002644D2" w:rsidRDefault="00B0184D" w:rsidP="00B0184D">
            <w:pPr>
              <w:pStyle w:val="ListParagraph"/>
              <w:numPr>
                <w:ilvl w:val="0"/>
                <w:numId w:val="1"/>
              </w:numPr>
              <w:ind w:left="331" w:hanging="331"/>
              <w:rPr>
                <w:b/>
                <w:sz w:val="20"/>
              </w:rPr>
            </w:pPr>
            <w:r w:rsidRPr="00A646DD">
              <w:rPr>
                <w:rFonts w:cstheme="minorHAnsi"/>
                <w:b/>
                <w:sz w:val="20"/>
              </w:rPr>
              <w:t>Emergency Housing</w:t>
            </w:r>
            <w:r w:rsidR="00CD138D">
              <w:rPr>
                <w:rFonts w:cstheme="minorHAnsi"/>
                <w:b/>
                <w:sz w:val="20"/>
              </w:rPr>
              <w:t xml:space="preserve"> </w:t>
            </w:r>
            <w:bookmarkStart w:id="0" w:name="_GoBack"/>
            <w:bookmarkEnd w:id="0"/>
            <w:r>
              <w:rPr>
                <w:rFonts w:cstheme="minorHAnsi"/>
                <w:b/>
                <w:sz w:val="20"/>
              </w:rPr>
              <w:t>Exemptions</w:t>
            </w:r>
          </w:p>
          <w:p w14:paraId="090CAF46" w14:textId="77777777" w:rsidR="00B0184D" w:rsidRPr="002644D2" w:rsidRDefault="00B0184D" w:rsidP="00F40E23">
            <w:pPr>
              <w:ind w:left="360"/>
              <w:rPr>
                <w:b/>
                <w:sz w:val="20"/>
              </w:rPr>
            </w:pPr>
          </w:p>
          <w:p w14:paraId="6ADF043B" w14:textId="7CC0C0D7" w:rsidR="00B0184D" w:rsidRPr="00296194" w:rsidRDefault="00B0184D" w:rsidP="00F40E23">
            <w:pPr>
              <w:rPr>
                <w:sz w:val="20"/>
              </w:rPr>
            </w:pPr>
            <w:r>
              <w:rPr>
                <w:sz w:val="20"/>
              </w:rPr>
              <w:t xml:space="preserve">Avoid </w:t>
            </w:r>
            <w:r w:rsidRPr="00296194">
              <w:rPr>
                <w:sz w:val="20"/>
              </w:rPr>
              <w:t>unfounded challenges to</w:t>
            </w:r>
            <w:r w:rsidRPr="00296194">
              <w:rPr>
                <w:b/>
                <w:sz w:val="20"/>
              </w:rPr>
              <w:t xml:space="preserve"> </w:t>
            </w:r>
            <w:r w:rsidRPr="00296194">
              <w:rPr>
                <w:sz w:val="20"/>
              </w:rPr>
              <w:t>transitional and emergency housing projects</w:t>
            </w:r>
            <w:r>
              <w:rPr>
                <w:sz w:val="20"/>
              </w:rPr>
              <w:t>.</w:t>
            </w:r>
          </w:p>
        </w:tc>
        <w:tc>
          <w:tcPr>
            <w:tcW w:w="3294" w:type="dxa"/>
          </w:tcPr>
          <w:p w14:paraId="08B231B7" w14:textId="77777777" w:rsidR="00B0184D" w:rsidRDefault="00B0184D" w:rsidP="00F40E23">
            <w:pPr>
              <w:rPr>
                <w:sz w:val="20"/>
              </w:rPr>
            </w:pPr>
            <w:r>
              <w:rPr>
                <w:sz w:val="20"/>
              </w:rPr>
              <w:t>Create a clear explicit Exemption for shelters, transitional and supportive housing developments.</w:t>
            </w:r>
          </w:p>
        </w:tc>
        <w:tc>
          <w:tcPr>
            <w:tcW w:w="3294" w:type="dxa"/>
          </w:tcPr>
          <w:p w14:paraId="3729EAB6" w14:textId="77777777" w:rsidR="00B0184D" w:rsidRPr="000556AD" w:rsidRDefault="00B0184D" w:rsidP="00F40E23">
            <w:pPr>
              <w:rPr>
                <w:rFonts w:eastAsia="Times New Roman" w:cs="Times New Roman"/>
                <w:sz w:val="22"/>
                <w:szCs w:val="22"/>
              </w:rPr>
            </w:pPr>
            <w:r w:rsidRPr="000556AD">
              <w:rPr>
                <w:sz w:val="20"/>
              </w:rPr>
              <w:t>Add</w:t>
            </w:r>
            <w:r w:rsidRPr="000556AD">
              <w:rPr>
                <w:rFonts w:eastAsia="Times New Roman" w:cs="Times New Roman"/>
                <w:sz w:val="26"/>
                <w:szCs w:val="26"/>
              </w:rPr>
              <w:t xml:space="preserve"> </w:t>
            </w:r>
            <w:r w:rsidRPr="000556AD">
              <w:rPr>
                <w:rFonts w:eastAsia="Times New Roman" w:cs="Times New Roman"/>
                <w:sz w:val="20"/>
              </w:rPr>
              <w:t>PRC</w:t>
            </w:r>
            <w:r w:rsidRPr="000556AD">
              <w:rPr>
                <w:rFonts w:eastAsia="Times New Roman" w:cs="Times New Roman"/>
                <w:sz w:val="26"/>
                <w:szCs w:val="26"/>
              </w:rPr>
              <w:t xml:space="preserve"> </w:t>
            </w:r>
            <w:r w:rsidRPr="000556AD">
              <w:rPr>
                <w:rFonts w:eastAsia="Times New Roman" w:cs="Times New Roman"/>
                <w:sz w:val="22"/>
                <w:szCs w:val="22"/>
              </w:rPr>
              <w:t>§21080.51</w:t>
            </w:r>
          </w:p>
          <w:p w14:paraId="413B1184" w14:textId="77777777" w:rsidR="00B0184D" w:rsidRPr="002C34FE" w:rsidRDefault="00B0184D" w:rsidP="00F40E23">
            <w:pPr>
              <w:rPr>
                <w:rFonts w:ascii="Times New Roman" w:eastAsia="Times New Roman" w:hAnsi="Times New Roman" w:cs="Times New Roman"/>
                <w:sz w:val="26"/>
                <w:szCs w:val="26"/>
                <w:highlight w:val="yellow"/>
              </w:rPr>
            </w:pPr>
          </w:p>
          <w:p w14:paraId="121BDE4E" w14:textId="3735DD00" w:rsidR="00B0184D" w:rsidRPr="00D023F1" w:rsidRDefault="00B0184D" w:rsidP="00F40E23">
            <w:pPr>
              <w:rPr>
                <w:b/>
                <w:sz w:val="20"/>
                <w:highlight w:val="yellow"/>
              </w:rPr>
            </w:pPr>
            <w:r w:rsidRPr="000556AD">
              <w:rPr>
                <w:b/>
                <w:sz w:val="20"/>
              </w:rPr>
              <w:t xml:space="preserve">(Bill SEC. </w:t>
            </w:r>
            <w:r w:rsidRPr="00CC2846">
              <w:rPr>
                <w:b/>
                <w:sz w:val="20"/>
              </w:rPr>
              <w:t>1</w:t>
            </w:r>
            <w:r w:rsidR="001D1C71" w:rsidRPr="00CC2846">
              <w:rPr>
                <w:b/>
                <w:sz w:val="20"/>
              </w:rPr>
              <w:t>2</w:t>
            </w:r>
            <w:r w:rsidRPr="00CC2846">
              <w:rPr>
                <w:b/>
                <w:sz w:val="20"/>
              </w:rPr>
              <w:t>)</w:t>
            </w:r>
          </w:p>
        </w:tc>
        <w:tc>
          <w:tcPr>
            <w:tcW w:w="3294" w:type="dxa"/>
          </w:tcPr>
          <w:p w14:paraId="522C18A6" w14:textId="77777777" w:rsidR="00B0184D" w:rsidRDefault="00B0184D" w:rsidP="00F40E23">
            <w:pPr>
              <w:rPr>
                <w:sz w:val="20"/>
              </w:rPr>
            </w:pPr>
            <w:r>
              <w:rPr>
                <w:sz w:val="20"/>
              </w:rPr>
              <w:t xml:space="preserve">Avoidance of a range of challenges to projects addressing homelessness. </w:t>
            </w:r>
          </w:p>
        </w:tc>
      </w:tr>
      <w:tr w:rsidR="00B0184D" w14:paraId="34044F32" w14:textId="77777777" w:rsidTr="00F40E23">
        <w:trPr>
          <w:jc w:val="center"/>
        </w:trPr>
        <w:tc>
          <w:tcPr>
            <w:tcW w:w="3071" w:type="dxa"/>
          </w:tcPr>
          <w:p w14:paraId="0A4CB78B" w14:textId="77777777" w:rsidR="00B0184D" w:rsidRPr="00A646DD" w:rsidRDefault="00B0184D" w:rsidP="00B0184D">
            <w:pPr>
              <w:pStyle w:val="ListParagraph"/>
              <w:numPr>
                <w:ilvl w:val="0"/>
                <w:numId w:val="1"/>
              </w:numPr>
              <w:ind w:left="342" w:hanging="342"/>
              <w:rPr>
                <w:b/>
                <w:sz w:val="20"/>
              </w:rPr>
            </w:pPr>
            <w:r w:rsidRPr="00A646DD">
              <w:rPr>
                <w:b/>
                <w:sz w:val="20"/>
              </w:rPr>
              <w:t xml:space="preserve">Environmental Justice and Modernization </w:t>
            </w:r>
          </w:p>
          <w:p w14:paraId="3C29F4D0" w14:textId="77777777" w:rsidR="00B0184D" w:rsidRPr="00342536" w:rsidRDefault="00B0184D" w:rsidP="00F40E23">
            <w:pPr>
              <w:ind w:left="360"/>
              <w:rPr>
                <w:sz w:val="20"/>
              </w:rPr>
            </w:pPr>
          </w:p>
        </w:tc>
        <w:tc>
          <w:tcPr>
            <w:tcW w:w="3294" w:type="dxa"/>
          </w:tcPr>
          <w:p w14:paraId="30A1A013" w14:textId="124FA6D2" w:rsidR="00B0184D" w:rsidRDefault="00B0184D" w:rsidP="00F40E23">
            <w:pPr>
              <w:rPr>
                <w:sz w:val="20"/>
              </w:rPr>
            </w:pPr>
            <w:r>
              <w:rPr>
                <w:sz w:val="20"/>
              </w:rPr>
              <w:t>Add environmental justice as an explicit consideration for CEQA; R</w:t>
            </w:r>
            <w:r w:rsidRPr="00D023F1">
              <w:rPr>
                <w:rFonts w:cstheme="minorHAnsi"/>
                <w:sz w:val="20"/>
              </w:rPr>
              <w:t xml:space="preserve">emove outmoded language and inappropriate </w:t>
            </w:r>
            <w:r w:rsidR="00E93D9B">
              <w:rPr>
                <w:rFonts w:cstheme="minorHAnsi"/>
                <w:sz w:val="20"/>
              </w:rPr>
              <w:t xml:space="preserve">gender </w:t>
            </w:r>
            <w:r w:rsidR="00676CA4">
              <w:rPr>
                <w:rFonts w:cstheme="minorHAnsi"/>
                <w:sz w:val="20"/>
              </w:rPr>
              <w:t>r</w:t>
            </w:r>
            <w:r w:rsidRPr="00D023F1">
              <w:rPr>
                <w:rFonts w:cstheme="minorHAnsi"/>
                <w:sz w:val="20"/>
              </w:rPr>
              <w:t>eferences</w:t>
            </w:r>
            <w:r>
              <w:rPr>
                <w:rFonts w:cstheme="minorHAnsi"/>
                <w:sz w:val="20"/>
              </w:rPr>
              <w:t>.</w:t>
            </w:r>
          </w:p>
        </w:tc>
        <w:tc>
          <w:tcPr>
            <w:tcW w:w="3294" w:type="dxa"/>
          </w:tcPr>
          <w:p w14:paraId="4386C63A" w14:textId="311A2BBD" w:rsidR="00B0184D" w:rsidRDefault="00B0184D" w:rsidP="00F40E23">
            <w:pPr>
              <w:rPr>
                <w:sz w:val="20"/>
              </w:rPr>
            </w:pPr>
            <w:r>
              <w:rPr>
                <w:sz w:val="20"/>
              </w:rPr>
              <w:t xml:space="preserve">Amendments to PRC </w:t>
            </w:r>
            <w:r w:rsidRPr="00CC7439">
              <w:rPr>
                <w:sz w:val="20"/>
              </w:rPr>
              <w:t>§</w:t>
            </w:r>
            <w:r>
              <w:rPr>
                <w:sz w:val="20"/>
              </w:rPr>
              <w:t xml:space="preserve">21000, 21001, </w:t>
            </w:r>
            <w:r w:rsidRPr="000556AD">
              <w:rPr>
                <w:sz w:val="20"/>
              </w:rPr>
              <w:t>21001.1, 21002</w:t>
            </w:r>
          </w:p>
          <w:p w14:paraId="246F8A4B" w14:textId="77777777" w:rsidR="00B0184D" w:rsidRDefault="00B0184D" w:rsidP="00F40E23">
            <w:pPr>
              <w:rPr>
                <w:sz w:val="20"/>
                <w:highlight w:val="yellow"/>
              </w:rPr>
            </w:pPr>
          </w:p>
          <w:p w14:paraId="66193650" w14:textId="232F17F3" w:rsidR="00B0184D" w:rsidRPr="00D023F1" w:rsidRDefault="00B0184D" w:rsidP="00F40E23">
            <w:pPr>
              <w:rPr>
                <w:b/>
                <w:sz w:val="20"/>
              </w:rPr>
            </w:pPr>
            <w:r w:rsidRPr="00D023F1">
              <w:rPr>
                <w:b/>
                <w:sz w:val="20"/>
              </w:rPr>
              <w:t xml:space="preserve">(Bill </w:t>
            </w:r>
            <w:r w:rsidRPr="000E3AAC">
              <w:rPr>
                <w:b/>
                <w:sz w:val="20"/>
              </w:rPr>
              <w:t xml:space="preserve">SEC. </w:t>
            </w:r>
            <w:r w:rsidR="001D1C71" w:rsidRPr="00CC2846">
              <w:rPr>
                <w:b/>
                <w:sz w:val="20"/>
              </w:rPr>
              <w:t>7</w:t>
            </w:r>
            <w:r w:rsidRPr="00CC2846">
              <w:rPr>
                <w:b/>
                <w:sz w:val="20"/>
              </w:rPr>
              <w:t xml:space="preserve">, </w:t>
            </w:r>
            <w:r w:rsidR="001D1C71" w:rsidRPr="00CC2846">
              <w:rPr>
                <w:b/>
                <w:sz w:val="20"/>
              </w:rPr>
              <w:t>8</w:t>
            </w:r>
            <w:r w:rsidRPr="00CC2846">
              <w:rPr>
                <w:b/>
                <w:sz w:val="20"/>
              </w:rPr>
              <w:t xml:space="preserve">, </w:t>
            </w:r>
            <w:r w:rsidR="001D1C71" w:rsidRPr="00CC2846">
              <w:rPr>
                <w:b/>
                <w:sz w:val="20"/>
              </w:rPr>
              <w:t>9</w:t>
            </w:r>
            <w:r w:rsidRPr="00CC2846">
              <w:rPr>
                <w:b/>
                <w:sz w:val="20"/>
              </w:rPr>
              <w:t xml:space="preserve">, </w:t>
            </w:r>
            <w:r w:rsidR="001D1C71" w:rsidRPr="00CC2846">
              <w:rPr>
                <w:b/>
                <w:sz w:val="20"/>
              </w:rPr>
              <w:t>10</w:t>
            </w:r>
            <w:r w:rsidRPr="00CC2846">
              <w:rPr>
                <w:b/>
                <w:sz w:val="20"/>
              </w:rPr>
              <w:t>)</w:t>
            </w:r>
            <w:r w:rsidRPr="00D023F1">
              <w:rPr>
                <w:b/>
                <w:sz w:val="20"/>
              </w:rPr>
              <w:t xml:space="preserve"> </w:t>
            </w:r>
          </w:p>
        </w:tc>
        <w:tc>
          <w:tcPr>
            <w:tcW w:w="3294" w:type="dxa"/>
          </w:tcPr>
          <w:p w14:paraId="70457772" w14:textId="147588AD" w:rsidR="00B0184D" w:rsidRDefault="00B0184D" w:rsidP="00F40E23">
            <w:pPr>
              <w:rPr>
                <w:sz w:val="20"/>
              </w:rPr>
            </w:pPr>
            <w:r w:rsidRPr="00296194">
              <w:rPr>
                <w:sz w:val="20"/>
              </w:rPr>
              <w:t>Nominal increase in lead agency time</w:t>
            </w:r>
            <w:r w:rsidR="00060309">
              <w:rPr>
                <w:sz w:val="20"/>
              </w:rPr>
              <w:t xml:space="preserve"> for substantially improved impact analysis. </w:t>
            </w:r>
          </w:p>
        </w:tc>
      </w:tr>
      <w:tr w:rsidR="00B0184D" w14:paraId="31EEBA87" w14:textId="77777777" w:rsidTr="00F40E23">
        <w:trPr>
          <w:jc w:val="center"/>
        </w:trPr>
        <w:tc>
          <w:tcPr>
            <w:tcW w:w="3071" w:type="dxa"/>
          </w:tcPr>
          <w:p w14:paraId="245EF188" w14:textId="77777777" w:rsidR="00B0184D" w:rsidRPr="00A646DD" w:rsidRDefault="00B0184D" w:rsidP="00B0184D">
            <w:pPr>
              <w:pStyle w:val="ListParagraph"/>
              <w:numPr>
                <w:ilvl w:val="0"/>
                <w:numId w:val="1"/>
              </w:numPr>
              <w:ind w:left="342" w:hanging="342"/>
              <w:rPr>
                <w:b/>
                <w:sz w:val="20"/>
              </w:rPr>
            </w:pPr>
            <w:r w:rsidRPr="00A646DD">
              <w:rPr>
                <w:b/>
                <w:sz w:val="20"/>
              </w:rPr>
              <w:t xml:space="preserve">Decluttering </w:t>
            </w:r>
          </w:p>
          <w:p w14:paraId="6964A301" w14:textId="77777777" w:rsidR="00B0184D" w:rsidRPr="00CB781D" w:rsidRDefault="00B0184D" w:rsidP="00F40E23">
            <w:pPr>
              <w:ind w:left="360"/>
              <w:rPr>
                <w:sz w:val="20"/>
              </w:rPr>
            </w:pPr>
          </w:p>
        </w:tc>
        <w:tc>
          <w:tcPr>
            <w:tcW w:w="3294" w:type="dxa"/>
          </w:tcPr>
          <w:p w14:paraId="54CE4AD5" w14:textId="77777777" w:rsidR="00B0184D" w:rsidRDefault="00B0184D" w:rsidP="00F40E23">
            <w:pPr>
              <w:rPr>
                <w:sz w:val="20"/>
              </w:rPr>
            </w:pPr>
            <w:r>
              <w:rPr>
                <w:sz w:val="20"/>
              </w:rPr>
              <w:t>Eliminate outdated or obsolete sections from the statute.</w:t>
            </w:r>
          </w:p>
          <w:p w14:paraId="0919B5AF" w14:textId="77777777" w:rsidR="00B0184D" w:rsidRDefault="00B0184D" w:rsidP="00F40E23">
            <w:pPr>
              <w:rPr>
                <w:sz w:val="20"/>
              </w:rPr>
            </w:pPr>
          </w:p>
        </w:tc>
        <w:tc>
          <w:tcPr>
            <w:tcW w:w="3294" w:type="dxa"/>
          </w:tcPr>
          <w:p w14:paraId="3A5BA80E" w14:textId="77777777" w:rsidR="00B0184D" w:rsidRPr="008A0CB7" w:rsidRDefault="00B0184D" w:rsidP="00F40E23">
            <w:pPr>
              <w:rPr>
                <w:sz w:val="20"/>
              </w:rPr>
            </w:pPr>
            <w:r w:rsidRPr="008A0CB7">
              <w:rPr>
                <w:sz w:val="20"/>
              </w:rPr>
              <w:t xml:space="preserve">Repeal PRC </w:t>
            </w:r>
            <w:r>
              <w:rPr>
                <w:sz w:val="20"/>
              </w:rPr>
              <w:t>§</w:t>
            </w:r>
            <w:r w:rsidRPr="008A0CB7">
              <w:rPr>
                <w:sz w:val="20"/>
              </w:rPr>
              <w:t>21080.04, 21168.6.5, 21168.6.6</w:t>
            </w:r>
          </w:p>
          <w:p w14:paraId="694B04BD" w14:textId="77777777" w:rsidR="00B0184D" w:rsidRPr="008A0CB7" w:rsidRDefault="00B0184D" w:rsidP="00F40E23">
            <w:pPr>
              <w:rPr>
                <w:sz w:val="20"/>
              </w:rPr>
            </w:pPr>
          </w:p>
          <w:p w14:paraId="22CFB9A3" w14:textId="3C4176A4" w:rsidR="00B0184D" w:rsidRPr="00D023F1" w:rsidRDefault="00B0184D" w:rsidP="00F40E23">
            <w:pPr>
              <w:rPr>
                <w:b/>
                <w:sz w:val="20"/>
              </w:rPr>
            </w:pPr>
            <w:r w:rsidRPr="00D023F1">
              <w:rPr>
                <w:b/>
                <w:sz w:val="20"/>
              </w:rPr>
              <w:t xml:space="preserve">(Bill SEC. </w:t>
            </w:r>
            <w:r w:rsidRPr="00CC2846">
              <w:rPr>
                <w:b/>
                <w:sz w:val="20"/>
              </w:rPr>
              <w:t>1</w:t>
            </w:r>
            <w:r w:rsidR="00CC2846" w:rsidRPr="00CC2846">
              <w:rPr>
                <w:b/>
                <w:sz w:val="20"/>
              </w:rPr>
              <w:t>1</w:t>
            </w:r>
            <w:r w:rsidRPr="00CC2846">
              <w:rPr>
                <w:b/>
                <w:sz w:val="20"/>
              </w:rPr>
              <w:t>, 2</w:t>
            </w:r>
            <w:r w:rsidR="001D1C71" w:rsidRPr="00CC2846">
              <w:rPr>
                <w:b/>
                <w:sz w:val="20"/>
              </w:rPr>
              <w:t>1</w:t>
            </w:r>
            <w:r w:rsidRPr="00CC2846">
              <w:rPr>
                <w:b/>
                <w:sz w:val="20"/>
              </w:rPr>
              <w:t>, 2</w:t>
            </w:r>
            <w:r w:rsidR="001D1C71" w:rsidRPr="00CC2846">
              <w:rPr>
                <w:b/>
                <w:sz w:val="20"/>
              </w:rPr>
              <w:t>2</w:t>
            </w:r>
            <w:r w:rsidRPr="00CC2846">
              <w:rPr>
                <w:b/>
                <w:sz w:val="20"/>
              </w:rPr>
              <w:t>)</w:t>
            </w:r>
          </w:p>
        </w:tc>
        <w:tc>
          <w:tcPr>
            <w:tcW w:w="3294" w:type="dxa"/>
          </w:tcPr>
          <w:p w14:paraId="161154CB" w14:textId="77777777" w:rsidR="00B0184D" w:rsidRPr="00BC61CA" w:rsidRDefault="00B0184D" w:rsidP="00F40E23">
            <w:pPr>
              <w:rPr>
                <w:sz w:val="20"/>
                <w:highlight w:val="yellow"/>
              </w:rPr>
            </w:pPr>
            <w:r w:rsidRPr="008A0CB7">
              <w:rPr>
                <w:sz w:val="20"/>
              </w:rPr>
              <w:t>Less time reading the statute</w:t>
            </w:r>
            <w:r>
              <w:rPr>
                <w:sz w:val="20"/>
              </w:rPr>
              <w:t>!</w:t>
            </w:r>
          </w:p>
        </w:tc>
      </w:tr>
    </w:tbl>
    <w:p w14:paraId="2E768B29" w14:textId="77777777" w:rsidR="00B0184D" w:rsidRDefault="00B0184D" w:rsidP="00B0184D">
      <w:pPr>
        <w:rPr>
          <w:sz w:val="20"/>
        </w:rPr>
      </w:pPr>
    </w:p>
    <w:p w14:paraId="14C56DA0" w14:textId="77777777" w:rsidR="00B0184D" w:rsidRDefault="00B0184D" w:rsidP="00B0184D">
      <w:pPr>
        <w:ind w:left="990"/>
        <w:rPr>
          <w:sz w:val="20"/>
        </w:rPr>
      </w:pPr>
      <w:r>
        <w:rPr>
          <w:sz w:val="20"/>
          <w:vertAlign w:val="superscript"/>
        </w:rPr>
        <w:t>*</w:t>
      </w:r>
      <w:r w:rsidRPr="00825A3E">
        <w:rPr>
          <w:sz w:val="20"/>
          <w:vertAlign w:val="superscript"/>
        </w:rPr>
        <w:t xml:space="preserve"> </w:t>
      </w:r>
      <w:r>
        <w:rPr>
          <w:sz w:val="20"/>
        </w:rPr>
        <w:t>Typical CEQA cases, involving relatively modest projects, get to the merits hearing on average in 9 to 12 months.</w:t>
      </w:r>
    </w:p>
    <w:p w14:paraId="750B62C5" w14:textId="77777777" w:rsidR="00B0184D" w:rsidRDefault="00B0184D" w:rsidP="00B0184D">
      <w:pPr>
        <w:ind w:left="990"/>
        <w:rPr>
          <w:sz w:val="20"/>
        </w:rPr>
      </w:pPr>
      <w:r>
        <w:rPr>
          <w:sz w:val="20"/>
          <w:vertAlign w:val="superscript"/>
        </w:rPr>
        <w:t>**</w:t>
      </w:r>
      <w:r>
        <w:rPr>
          <w:sz w:val="20"/>
        </w:rPr>
        <w:t xml:space="preserve"> Complex/large project cases can take 18 to 24 months to get to the merits hearing and under some circumstances even longer.</w:t>
      </w:r>
    </w:p>
    <w:p w14:paraId="50D922FD" w14:textId="77777777" w:rsidR="00B0184D" w:rsidRDefault="00B0184D" w:rsidP="00B0184D">
      <w:pPr>
        <w:ind w:left="990"/>
        <w:rPr>
          <w:sz w:val="20"/>
        </w:rPr>
      </w:pPr>
      <w:r>
        <w:rPr>
          <w:sz w:val="20"/>
        </w:rPr>
        <w:t>*** The average number of CEQA cases is approximately 200 per year. Four to six percent equals eight to twelve cases.</w:t>
      </w:r>
    </w:p>
    <w:p w14:paraId="352034D4" w14:textId="77777777" w:rsidR="00B0184D" w:rsidRPr="007B3793" w:rsidRDefault="00B0184D" w:rsidP="00B0184D">
      <w:pPr>
        <w:ind w:left="990"/>
        <w:rPr>
          <w:sz w:val="20"/>
        </w:rPr>
      </w:pPr>
      <w:r>
        <w:rPr>
          <w:sz w:val="20"/>
        </w:rPr>
        <w:t>****Specific hour and cost estimates for “Minor” and “Modest” categories to be determined.</w:t>
      </w:r>
    </w:p>
    <w:p w14:paraId="1F59A158" w14:textId="524E2811" w:rsidR="00CD58EE" w:rsidRPr="002F05DE" w:rsidRDefault="00CD58EE" w:rsidP="000024A9">
      <w:pPr>
        <w:rPr>
          <w:rFonts w:cstheme="minorHAnsi"/>
          <w:sz w:val="22"/>
          <w:szCs w:val="22"/>
        </w:rPr>
      </w:pPr>
    </w:p>
    <w:sectPr w:rsidR="00CD58EE" w:rsidRPr="002F05DE" w:rsidSect="0054138E">
      <w:footerReference w:type="even" r:id="rId9"/>
      <w:footerReference w:type="default" r:id="rId10"/>
      <w:pgSz w:w="15840" w:h="12240" w:orient="landscape"/>
      <w:pgMar w:top="360" w:right="806" w:bottom="360" w:left="36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FF46F" w14:textId="77777777" w:rsidR="0058241D" w:rsidRDefault="0058241D">
      <w:r>
        <w:separator/>
      </w:r>
    </w:p>
  </w:endnote>
  <w:endnote w:type="continuationSeparator" w:id="0">
    <w:p w14:paraId="0028BC1B" w14:textId="77777777" w:rsidR="0058241D" w:rsidRDefault="0058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2F2B1E" w14:textId="77777777" w:rsidR="007B20DC" w:rsidRDefault="0058241D" w:rsidP="00C91FAA">
    <w:pPr>
      <w:pStyle w:val="Footer"/>
      <w:framePr w:wrap="around" w:vAnchor="text" w:hAnchor="margin" w:xAlign="center" w:y="1"/>
      <w:rPr>
        <w:rStyle w:val="PageNumber"/>
      </w:rPr>
    </w:pPr>
  </w:p>
  <w:p w14:paraId="6D95F244" w14:textId="77777777" w:rsidR="007B20DC" w:rsidRDefault="0058241D">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96754" w14:textId="77777777" w:rsidR="007B20DC" w:rsidRDefault="002E3C39" w:rsidP="00C91FAA">
    <w:pPr>
      <w:pStyle w:val="Footer"/>
      <w:framePr w:wrap="around" w:vAnchor="text" w:hAnchor="margin" w:xAlign="center" w:y="1"/>
      <w:rPr>
        <w:rStyle w:val="PageNumber"/>
      </w:rPr>
    </w:pPr>
    <w:r>
      <w:rPr>
        <w:rStyle w:val="PageNumber"/>
        <w:noProof/>
      </w:rPr>
      <w:t>6</w:t>
    </w:r>
  </w:p>
  <w:p w14:paraId="3FADBB5C" w14:textId="77777777" w:rsidR="007B20DC" w:rsidRDefault="0058241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E0EC2" w14:textId="77777777" w:rsidR="0058241D" w:rsidRDefault="0058241D">
      <w:r>
        <w:separator/>
      </w:r>
    </w:p>
  </w:footnote>
  <w:footnote w:type="continuationSeparator" w:id="0">
    <w:p w14:paraId="43F255F4" w14:textId="77777777" w:rsidR="0058241D" w:rsidRDefault="0058241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227E72"/>
    <w:multiLevelType w:val="hybridMultilevel"/>
    <w:tmpl w:val="00841AC0"/>
    <w:lvl w:ilvl="0" w:tplc="C20CD3C2">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6A8"/>
    <w:rsid w:val="000024A9"/>
    <w:rsid w:val="000135CD"/>
    <w:rsid w:val="00025934"/>
    <w:rsid w:val="0003605E"/>
    <w:rsid w:val="00051D14"/>
    <w:rsid w:val="00060309"/>
    <w:rsid w:val="00066C7F"/>
    <w:rsid w:val="000928A4"/>
    <w:rsid w:val="000A3318"/>
    <w:rsid w:val="000D3206"/>
    <w:rsid w:val="000E3AAC"/>
    <w:rsid w:val="001361C0"/>
    <w:rsid w:val="00143AB4"/>
    <w:rsid w:val="001520FC"/>
    <w:rsid w:val="001951D6"/>
    <w:rsid w:val="001A1EF3"/>
    <w:rsid w:val="001D1C71"/>
    <w:rsid w:val="001F5360"/>
    <w:rsid w:val="00247FC1"/>
    <w:rsid w:val="002553F5"/>
    <w:rsid w:val="00277E2D"/>
    <w:rsid w:val="002D5772"/>
    <w:rsid w:val="002E29A8"/>
    <w:rsid w:val="002E3C39"/>
    <w:rsid w:val="002F05DE"/>
    <w:rsid w:val="003147FA"/>
    <w:rsid w:val="0031696D"/>
    <w:rsid w:val="00324F31"/>
    <w:rsid w:val="00332666"/>
    <w:rsid w:val="00350E84"/>
    <w:rsid w:val="003B108E"/>
    <w:rsid w:val="003B7447"/>
    <w:rsid w:val="00402C6E"/>
    <w:rsid w:val="004158D8"/>
    <w:rsid w:val="00436BAD"/>
    <w:rsid w:val="00442188"/>
    <w:rsid w:val="00485684"/>
    <w:rsid w:val="00495EA0"/>
    <w:rsid w:val="00497D5B"/>
    <w:rsid w:val="004B11B7"/>
    <w:rsid w:val="004B3BAD"/>
    <w:rsid w:val="004B5873"/>
    <w:rsid w:val="004B755D"/>
    <w:rsid w:val="004C39E0"/>
    <w:rsid w:val="004E3D3B"/>
    <w:rsid w:val="00504C17"/>
    <w:rsid w:val="00532B2C"/>
    <w:rsid w:val="00547E91"/>
    <w:rsid w:val="00570365"/>
    <w:rsid w:val="00570CFB"/>
    <w:rsid w:val="0058241D"/>
    <w:rsid w:val="0058325D"/>
    <w:rsid w:val="00583957"/>
    <w:rsid w:val="005A6F62"/>
    <w:rsid w:val="005D62C4"/>
    <w:rsid w:val="005E2DEE"/>
    <w:rsid w:val="005E3882"/>
    <w:rsid w:val="005F06A8"/>
    <w:rsid w:val="006058B7"/>
    <w:rsid w:val="00630FB9"/>
    <w:rsid w:val="0064699D"/>
    <w:rsid w:val="00662E3D"/>
    <w:rsid w:val="00666767"/>
    <w:rsid w:val="00666A0F"/>
    <w:rsid w:val="00676CA4"/>
    <w:rsid w:val="006D6771"/>
    <w:rsid w:val="006F0F74"/>
    <w:rsid w:val="006F7737"/>
    <w:rsid w:val="00706368"/>
    <w:rsid w:val="00707CAB"/>
    <w:rsid w:val="00751DB4"/>
    <w:rsid w:val="0079402C"/>
    <w:rsid w:val="00797BB2"/>
    <w:rsid w:val="007A0E3B"/>
    <w:rsid w:val="007B0E7A"/>
    <w:rsid w:val="007B5695"/>
    <w:rsid w:val="007B7964"/>
    <w:rsid w:val="007C04CC"/>
    <w:rsid w:val="007D23D1"/>
    <w:rsid w:val="007D63E2"/>
    <w:rsid w:val="007E49E6"/>
    <w:rsid w:val="00804668"/>
    <w:rsid w:val="00811B97"/>
    <w:rsid w:val="0082251B"/>
    <w:rsid w:val="00823E1C"/>
    <w:rsid w:val="00830D19"/>
    <w:rsid w:val="00840068"/>
    <w:rsid w:val="00843B05"/>
    <w:rsid w:val="008566ED"/>
    <w:rsid w:val="00871DB4"/>
    <w:rsid w:val="00872493"/>
    <w:rsid w:val="0088028A"/>
    <w:rsid w:val="008B4F39"/>
    <w:rsid w:val="008C1151"/>
    <w:rsid w:val="008C470B"/>
    <w:rsid w:val="008E4E82"/>
    <w:rsid w:val="008F1303"/>
    <w:rsid w:val="008F74E9"/>
    <w:rsid w:val="0090010B"/>
    <w:rsid w:val="009049CF"/>
    <w:rsid w:val="009053B6"/>
    <w:rsid w:val="00921420"/>
    <w:rsid w:val="0097018B"/>
    <w:rsid w:val="009850CE"/>
    <w:rsid w:val="009939F1"/>
    <w:rsid w:val="009972C3"/>
    <w:rsid w:val="009A559C"/>
    <w:rsid w:val="009A609A"/>
    <w:rsid w:val="009F5D81"/>
    <w:rsid w:val="00A0384D"/>
    <w:rsid w:val="00A21CAB"/>
    <w:rsid w:val="00A31BF9"/>
    <w:rsid w:val="00A4049D"/>
    <w:rsid w:val="00A546E3"/>
    <w:rsid w:val="00A55498"/>
    <w:rsid w:val="00A627BD"/>
    <w:rsid w:val="00A75613"/>
    <w:rsid w:val="00AC480F"/>
    <w:rsid w:val="00AD028B"/>
    <w:rsid w:val="00AD47E8"/>
    <w:rsid w:val="00AE3307"/>
    <w:rsid w:val="00B0184D"/>
    <w:rsid w:val="00B3021E"/>
    <w:rsid w:val="00B3151C"/>
    <w:rsid w:val="00B35798"/>
    <w:rsid w:val="00B77F2C"/>
    <w:rsid w:val="00B96A01"/>
    <w:rsid w:val="00BA342B"/>
    <w:rsid w:val="00BA3BF1"/>
    <w:rsid w:val="00BC1251"/>
    <w:rsid w:val="00BC35D3"/>
    <w:rsid w:val="00BE2F9B"/>
    <w:rsid w:val="00C1578F"/>
    <w:rsid w:val="00C626A9"/>
    <w:rsid w:val="00C652E7"/>
    <w:rsid w:val="00C72DAF"/>
    <w:rsid w:val="00CA4178"/>
    <w:rsid w:val="00CB200C"/>
    <w:rsid w:val="00CB5777"/>
    <w:rsid w:val="00CB5C7A"/>
    <w:rsid w:val="00CC2846"/>
    <w:rsid w:val="00CC433A"/>
    <w:rsid w:val="00CC4BB2"/>
    <w:rsid w:val="00CD138D"/>
    <w:rsid w:val="00CD58EE"/>
    <w:rsid w:val="00CE0562"/>
    <w:rsid w:val="00CE32C8"/>
    <w:rsid w:val="00CE4D47"/>
    <w:rsid w:val="00CF140F"/>
    <w:rsid w:val="00D2456D"/>
    <w:rsid w:val="00D31F55"/>
    <w:rsid w:val="00D400C1"/>
    <w:rsid w:val="00D40CE6"/>
    <w:rsid w:val="00D454B0"/>
    <w:rsid w:val="00D534B9"/>
    <w:rsid w:val="00D54CB5"/>
    <w:rsid w:val="00D626FC"/>
    <w:rsid w:val="00D65B2A"/>
    <w:rsid w:val="00D85288"/>
    <w:rsid w:val="00DC379B"/>
    <w:rsid w:val="00DE6EED"/>
    <w:rsid w:val="00DF0418"/>
    <w:rsid w:val="00DF5E96"/>
    <w:rsid w:val="00E01AB2"/>
    <w:rsid w:val="00E03290"/>
    <w:rsid w:val="00E05175"/>
    <w:rsid w:val="00E073FA"/>
    <w:rsid w:val="00E11927"/>
    <w:rsid w:val="00E84923"/>
    <w:rsid w:val="00E93D9B"/>
    <w:rsid w:val="00E95188"/>
    <w:rsid w:val="00F004F5"/>
    <w:rsid w:val="00F015D0"/>
    <w:rsid w:val="00F0306A"/>
    <w:rsid w:val="00F146E1"/>
    <w:rsid w:val="00F64EA4"/>
    <w:rsid w:val="00FC734E"/>
    <w:rsid w:val="00FD1E96"/>
    <w:rsid w:val="00FE19A4"/>
    <w:rsid w:val="00FE3805"/>
    <w:rsid w:val="00FF41D4"/>
    <w:rsid w:val="00FF4B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3CE4"/>
  <w15:chartTrackingRefBased/>
  <w15:docId w15:val="{87429B52-6BCD-FF43-94DA-BFEFC8288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5247892291573324723bumpedfont15">
    <w:name w:val="m_-5247892291573324723bumpedfont15"/>
    <w:basedOn w:val="DefaultParagraphFont"/>
    <w:rsid w:val="00706368"/>
  </w:style>
  <w:style w:type="table" w:styleId="TableGrid">
    <w:name w:val="Table Grid"/>
    <w:basedOn w:val="TableNormal"/>
    <w:uiPriority w:val="59"/>
    <w:rsid w:val="00B0184D"/>
    <w:rPr>
      <w:rFonts w:ascii="Palatino Linotype" w:hAnsi="Palatino Linotype" w:cs="Arial"/>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0184D"/>
    <w:pPr>
      <w:ind w:left="720"/>
      <w:contextualSpacing/>
    </w:pPr>
    <w:rPr>
      <w:rFonts w:ascii="Palatino Linotype" w:hAnsi="Palatino Linotype" w:cs="Arial"/>
      <w:szCs w:val="20"/>
    </w:rPr>
  </w:style>
  <w:style w:type="paragraph" w:styleId="Footer">
    <w:name w:val="footer"/>
    <w:basedOn w:val="Normal"/>
    <w:link w:val="FooterChar"/>
    <w:uiPriority w:val="99"/>
    <w:unhideWhenUsed/>
    <w:rsid w:val="00B0184D"/>
    <w:pPr>
      <w:tabs>
        <w:tab w:val="center" w:pos="4320"/>
        <w:tab w:val="right" w:pos="8640"/>
      </w:tabs>
    </w:pPr>
    <w:rPr>
      <w:rFonts w:ascii="Palatino Linotype" w:hAnsi="Palatino Linotype" w:cs="Arial"/>
      <w:szCs w:val="20"/>
    </w:rPr>
  </w:style>
  <w:style w:type="character" w:customStyle="1" w:styleId="FooterChar">
    <w:name w:val="Footer Char"/>
    <w:basedOn w:val="DefaultParagraphFont"/>
    <w:link w:val="Footer"/>
    <w:uiPriority w:val="99"/>
    <w:rsid w:val="00B0184D"/>
    <w:rPr>
      <w:rFonts w:ascii="Palatino Linotype" w:hAnsi="Palatino Linotype" w:cs="Arial"/>
      <w:szCs w:val="20"/>
    </w:rPr>
  </w:style>
  <w:style w:type="character" w:styleId="PageNumber">
    <w:name w:val="page number"/>
    <w:basedOn w:val="DefaultParagraphFont"/>
    <w:uiPriority w:val="99"/>
    <w:semiHidden/>
    <w:unhideWhenUsed/>
    <w:rsid w:val="00B0184D"/>
  </w:style>
  <w:style w:type="paragraph" w:styleId="BalloonText">
    <w:name w:val="Balloon Text"/>
    <w:basedOn w:val="Normal"/>
    <w:link w:val="BalloonTextChar"/>
    <w:uiPriority w:val="99"/>
    <w:semiHidden/>
    <w:unhideWhenUsed/>
    <w:rsid w:val="00D245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456D"/>
    <w:rPr>
      <w:rFonts w:ascii="Segoe UI" w:hAnsi="Segoe UI" w:cs="Segoe UI"/>
      <w:sz w:val="18"/>
      <w:szCs w:val="18"/>
    </w:rPr>
  </w:style>
  <w:style w:type="character" w:styleId="CommentReference">
    <w:name w:val="annotation reference"/>
    <w:basedOn w:val="DefaultParagraphFont"/>
    <w:uiPriority w:val="99"/>
    <w:semiHidden/>
    <w:unhideWhenUsed/>
    <w:rsid w:val="00D2456D"/>
    <w:rPr>
      <w:sz w:val="16"/>
      <w:szCs w:val="16"/>
    </w:rPr>
  </w:style>
  <w:style w:type="paragraph" w:styleId="CommentText">
    <w:name w:val="annotation text"/>
    <w:basedOn w:val="Normal"/>
    <w:link w:val="CommentTextChar"/>
    <w:uiPriority w:val="99"/>
    <w:semiHidden/>
    <w:unhideWhenUsed/>
    <w:rsid w:val="00D2456D"/>
    <w:rPr>
      <w:sz w:val="20"/>
      <w:szCs w:val="20"/>
    </w:rPr>
  </w:style>
  <w:style w:type="character" w:customStyle="1" w:styleId="CommentTextChar">
    <w:name w:val="Comment Text Char"/>
    <w:basedOn w:val="DefaultParagraphFont"/>
    <w:link w:val="CommentText"/>
    <w:uiPriority w:val="99"/>
    <w:semiHidden/>
    <w:rsid w:val="00D2456D"/>
    <w:rPr>
      <w:sz w:val="20"/>
      <w:szCs w:val="20"/>
    </w:rPr>
  </w:style>
  <w:style w:type="paragraph" w:styleId="CommentSubject">
    <w:name w:val="annotation subject"/>
    <w:basedOn w:val="CommentText"/>
    <w:next w:val="CommentText"/>
    <w:link w:val="CommentSubjectChar"/>
    <w:uiPriority w:val="99"/>
    <w:semiHidden/>
    <w:unhideWhenUsed/>
    <w:rsid w:val="00D2456D"/>
    <w:rPr>
      <w:b/>
      <w:bCs/>
    </w:rPr>
  </w:style>
  <w:style w:type="character" w:customStyle="1" w:styleId="CommentSubjectChar">
    <w:name w:val="Comment Subject Char"/>
    <w:basedOn w:val="CommentTextChar"/>
    <w:link w:val="CommentSubject"/>
    <w:uiPriority w:val="99"/>
    <w:semiHidden/>
    <w:rsid w:val="00D245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2219</Words>
  <Characters>12650</Characters>
  <Application>Microsoft Office Word</Application>
  <DocSecurity>0</DocSecurity>
  <PresentationFormat/>
  <Lines>105</Lines>
  <Paragraphs>29</Paragraphs>
  <ScaleCrop>false</ScaleCrop>
  <HeadingPairs>
    <vt:vector size="2" baseType="variant">
      <vt:variant>
        <vt:lpstr>Title</vt:lpstr>
      </vt:variant>
      <vt:variant>
        <vt:i4>1</vt:i4>
      </vt:variant>
    </vt:vector>
  </HeadingPairs>
  <TitlesOfParts>
    <vt:vector size="1" baseType="lpstr">
      <vt:lpstr>CEQA 2.0 Goal Summaries and Chart v.1 (00534957).DOCX</vt:lpstr>
    </vt:vector>
  </TitlesOfParts>
  <Company/>
  <LinksUpToDate>false</LinksUpToDate>
  <CharactersWithSpaces>14840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CEQA 2.0 Goal Summaries and Chart v.1 (00534957).DOCX</dc:title>
  <dc:subject/>
  <dc:creator>Matthew Baker</dc:creator>
  <cp:keywords/>
  <dc:description/>
  <cp:lastModifiedBy>Sofia Rafikova</cp:lastModifiedBy>
  <cp:revision>2</cp:revision>
  <dcterms:created xsi:type="dcterms:W3CDTF">2020-07-16T17:22:00Z</dcterms:created>
  <dcterms:modified xsi:type="dcterms:W3CDTF">2020-07-16T17:22:00Z</dcterms:modified>
</cp:coreProperties>
</file>